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ATAS/878/2017 vom 10. Oktober 2017</w:t>
      </w:r>
    </w:p>
    <w:p>
      <w:r>
        <w:t>GE Cour de justice, 2017-10-10, FR</w:t>
      </w:r>
    </w:p>
    <w:p>
      <w:r>
        <w:rPr>
          <w:b/>
        </w:rPr>
        <w:t xml:space="preserve">Quelle: </w:t>
      </w:r>
      <w:r>
        <w:t>https://mcp.opencaselaw.ch/entscheid/ge_gerichte_ATAS_878_2017</w:t>
      </w:r>
    </w:p>
    <w:p>
      <w:r>
        <w:t>FR: GE_GERICHTE ATAS/878/2017 du 10 octobre 2017</w:t>
      </w:r>
    </w:p>
    <w:p>
      <w:r>
        <w:t>IT: GE_GERICHTE ATAS/878/2017 del 10 ottobre 2017</w:t>
      </w:r>
    </w:p>
    <w:p>
      <w:pPr>
        <w:pStyle w:val="Heading2"/>
      </w:pPr>
      <w:r>
        <w:t>Erwägungen</w:t>
      </w:r>
    </w:p>
    <w:p>
      <w:r>
        <w:rPr>
          <w:b/>
        </w:rPr>
        <w:t>E. 14</w:t>
      </w:r>
    </w:p>
    <w:p>
      <w:r>
        <w:t>Le 4 novembre 2016, l’assurée a invité l’OAI à clarifier le titre de son projet de décision, qui mentionnait une rente limitée dans le temps alors que la décision ne fixait pas de terme à son versement.</w:t>
      </w:r>
    </w:p>
    <w:p>
      <w:r>
        <w:rPr>
          <w:b/>
        </w:rPr>
        <w:t>E. 15</w:t>
      </w:r>
    </w:p>
    <w:p>
      <w:r>
        <w:t>Le 8 novembre 2016, l’OAI a confirmé à l’assurée que la rente n’était pas limitée dans le temps. Il rectifierait ce point dans sa décision.</w:t>
      </w:r>
    </w:p>
    <w:p>
      <w:r>
        <w:rPr>
          <w:b/>
        </w:rPr>
        <w:t>E. 16</w:t>
      </w:r>
    </w:p>
    <w:p>
      <w:r>
        <w:t>Par décision du 5 janvier 2017, l’OAI a alloué une demi-rente d’invalidité à l’assurée dès le 1er novembre 2015.</w:t>
      </w:r>
    </w:p>
    <w:p>
      <w:r>
        <w:rPr>
          <w:b/>
        </w:rPr>
        <w:t>E. 17</w:t>
      </w:r>
    </w:p>
    <w:p>
      <w:r>
        <w:t>L’assurée a interjeté recours contre cette décision par écriture du 13 février 2017. Elle a conclu, sous suite de dépens, à ce qu’il soit constaté qu’elle avait droit à toutes les prestations découlant de l’assurance-invalidité et à une rente entière d’invalidité, et subsidiairement au renvoi de la cause à l’intimé pour instruction complémentaire et nouvelle décision. Se référant à un certificat établi par le Dr B______ le 25 novembre 2016, qu’elle a produit, elle a allégué que sa capacité de travail ne dépassait pas 20 % à 30 % en tenant compte de la diminution de rendement liée à l’aggravation de son état de santé, et au fait que la position assise prolongée était limitée de manière plus importante par l’atteinte rachidienne. Dans son calcul, l’OAI n’avait pas tenu compte d’une diminution de rendement. De plus, l’abattement devait être de 20 % compte tenu des limitations fonctionnelles importantes, du taux d’activité restreint, de son âge et du fait qu’elle était analphabète. Si le rapport du Dr B______ ne devait pas être considéré comme suffisant pour établir sa capacité de travail, une expertise judiciaire devrait être mise en œuvre. Dans le certificat produit à l’appui du recours, le Dr B______ a confirmé les diagnostics de gonarthrose bilatérale sévère avec destruction du cartilage et latéralisation de la rotule, de dorso-lombalgies chroniques sur arthrose facettaire L4-L5 et L5-S1 avec antélisthésis L5-S1, spondylophyte latérale gauche L2-L3 et discopathie avec spondylose D11-D12, et de ténosynovite chronique du jambier postérieur et arthrose astragalo-scaphoïdienne débutante. L’arthrose des genoux entraînait des troubles statiques des membres inférieurs avec valgus marqué et boiterie bilatérale, causant une importante limitation du périmètre de marche et ne</w:t>
      </w:r>
    </w:p>
    <w:p>
      <w:r>
        <w:t>A/494/2017 - 5/13 - permettant pas les positions à genoux, accroupie, ou debout prolongées. L’atteinte du rachis entraînait une limitation des positions prolongées assise et debout, du port de charge et de toute activité impliquant une contrainte rachidienne, comme les gestes répétitifs, surtout ceux effectués dans les activités ménagères. L’atteinte de la cheville droite limitait également le périmètre de marche. L’activité d’aide de cuisine n’était plus exigible. Dans une activité adaptée, c’est-à-dire sédentaire assise, l’activité nette ne dépasserait probablement pas 20 % à 30 % compte tenu de la diminution de rendement. Cette estimation plus faible s’expliquait par l’aggravation de l’état de santé et par la limitation de la position assise.</w:t>
      </w:r>
    </w:p>
    <w:p>
      <w:r>
        <w:rPr>
          <w:b/>
        </w:rPr>
        <w:t>E. 18</w:t>
      </w:r>
    </w:p>
    <w:p>
      <w:r>
        <w:t>Dans sa réponse du 14 mars 2017, l’intimé a conclu au rejet du recours. Il a affirmé que la capacité de travail de 50 % dans une activité adaptée avait été confirmée par le Dr B______ en mai et novembre 2015. S’agissant des conclusions de ce médecin du 25 novembre 2016, l’intimé s’est rallié à l’avis du SMR, produit à l’appui de son écriture. En l’absence d’éléments médicaux objectifs permettant de remettre en cause son appréciation, la mise en œuvre de mesures d’instruction complémentaires était superflue. Quant au taux d’abattement, il relevait de l’appréciation de l’intimé et était conforme au droit. Dans son avis joint du 28 février 2017, le docteur D______, médecin au SMR, a noté que le Dr B______ reprenait les diagnostics et les limitations déjà connus, et qu’il expliquait la diminution de la capacité de travail par une aggravation de l’état de santé, alors que la situation décrite était tout à fait comparable à celle ressortant de ses précédents rapports.</w:t>
      </w:r>
    </w:p>
    <w:p>
      <w:r>
        <w:rPr>
          <w:b/>
        </w:rPr>
        <w:t>E. 19</w:t>
      </w:r>
    </w:p>
    <w:p>
      <w:r>
        <w:t>Dans sa réplique du 10 avril 2017, la recourante a contesté la position de l’intimé. Elle a soutenu que le Dr B______ considérait que l’atteinte du rachis dorso- lombaire était plus importante que lors de ses précédents rapports en raison d’une aggravation de son état de santé. Dans la mesure où son rapport antérieur avait été qualifié de clair et pertinent, il n’y avait pas lieu de s’écarter de son nouvel avis. Le cas échéant, une expertise devrait être ordonnée pour clarifier cette question.</w:t>
      </w:r>
    </w:p>
    <w:p>
      <w:r>
        <w:rPr>
          <w:b/>
        </w:rPr>
        <w:t>E. 20</w:t>
      </w:r>
    </w:p>
    <w:p>
      <w:r>
        <w:t>Dans sa duplique du 9 mai 2017, l’intimé a confirmé son appréciation des faits en répétant que des mesures d’instruction complémentaire seraient superflues.</w:t>
      </w:r>
    </w:p>
    <w:p>
      <w:r>
        <w:rPr>
          <w:b/>
        </w:rPr>
        <w:t>E. 21</w:t>
      </w:r>
    </w:p>
    <w:p>
      <w:r>
        <w:t>La chambre de céans a transmis copie de cette écriture à la recourante le 12 mai 2017.</w:t>
      </w:r>
    </w:p>
    <w:p>
      <w:r>
        <w:rPr>
          <w:b/>
        </w:rPr>
        <w:t>E. 22</w:t>
      </w:r>
    </w:p>
    <w:p>
      <w:r>
        <w:t>Sur ce, la cause a été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A/494/2017 - 6/13 - Sa compétence pour juger du cas d’espèce est ainsi établie. 2. La LPGA, entrée en vigueur le 1er janvier 2003, est applicable à la présente procédure. 3. Le recours, interjeté dans les délai et forme légaux, est recevable (art. 56ss LPGA). On notera en particulier que malgré leur libellé, les conclusions de la recourante doivent être interprétées en ce sens qu’elles tendent à la condamnation de l’intimé au versement de prestations. Il ne s’agit dès lors pas d’une action en constatation, laquelle ne serait pas recevable en raison de son caractère subsidiaire par rapport à une action formatrice (ATF 129 V 289 consid. 2.1, arrêt du Tribunal fédéral des assurances B 149/06 du 11 juin 2007 consid. 5.2). 4. Le litige porte sur le degré d’invalidité de la recourante. 5.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6.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w:t>
      </w:r>
    </w:p>
    <w:p>
      <w:r>
        <w:t>A/494/2017 - 7/13 - entière s’il est invalide à 70 % au moins, à trois quarts de rente s’il est invalide à 60 % au moins, à une demi-rente s’il est invalide à 50 % au moins ou à un quart de rente s’il est invalide à 40 % au moins. 7.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d’ordre professionnel comprennent l’orientation professionnelle (art. 15 LAI), la formation professionnelle initiale (art. 16 LAI), le reclassement (art. 17 LAI) et le placement (art. 18 LAI).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En ce qui concerne le droit au placement,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de sorte qu'il n'aura aucune chance d'obtenir l'emploi souhaité. Lorsque la capacité de travail est limitée uniquement du fait que seules des activités légères peuvent être exigées de l'assuré, il faut qu'il soit entravé de manière spécifique par l'atteinte à la santé dans la faculté de rechercher un emploi (VSI 2003 p. 274 consid. 2c).</w:t>
      </w:r>
    </w:p>
    <w:p>
      <w:r>
        <w:t>A/494/2017 - 8/13 - 8.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w:t>
      </w:r>
    </w:p>
    <w:p>
      <w:r>
        <w:t>A/494/2017 - 9/13 -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Pour déterminer le revenu d'invalide de l'assuré, il faut en l'absence d'un revenu effectivement réalisé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w:t>
      </w:r>
    </w:p>
    <w:p>
      <w:r>
        <w:t>A/494/2017 - 10/13 -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 permet de tenir compte des différents éléments qui peuvent influencer le revenu d'une activité lucrative (ATF 126 V 75 consid. 5b). 10. En l’espèce, l’intimé s’est rallié aux conclusions initiales du Dr B______ sur la capacité de travail et de gain de la recourante, aux termes desquelles cette dernière ne pouvait plus être employée en tant qu’aide de cuisine mais était en mesure d’exercer une activité adaptée à 50 %. Le rapport établi par ce médecin en mai 2015 est – à tout le moins partiellement – conforme aux exigences dégagées par le Tribunal fédéral et rappelées ci-dessus en matière de valeur probante de rapports médicaux, dans la mesure où il retrace l’historique médical de la recourante, tient compte de ses plaintes et que les diagnostics établis sont clairs. Ses conclusions quant à la capacité de travail dans l’activité habituelle sont en outre convaincantes au vu des limitations fonctionnelles qu’entraînent les atteintes de la recourante. On peut certes s’interroger sur les raisons pour lesquelles ce médecin considère qu’une activité adaptée à ces limitations n’était possible qu’à 50 %, puisqu’il ne les a guère détaillées. Cependant, il n’y a pas lieu de s’écarter de cette appréciation, dès lors qu’il n’existe aucun avis contradictoire au dossier et que le SMR ne la conteste pas. Le Dr B______ est par la suite revenu sur ces conclusions dans le certificat qu’il a établi en novembre 2016, en affirmant que la capacité de travail dans une activité adaptée était réduite de 20 à 30 % par la diminution de rendement de la recourante. Cependant, les motifs invoqués à l’appui de cette diminution de rendement n’emportent pas la conviction. Le Dr B______ annonce tout à la fois une aggravation de l’état de santé et une limitation de la position assise. Or, l’aggravation de l’état de santé n’est pas étayée, les diagnostics posés par ce médecin étant strictement identiques à ceux énumérés dans ses précédents rapports, comme le relève à juste titre le SMR. Quant à la position assise, on relèvera en premier lieu que le Dr B______ avait déjà retenu en mai 2015 qu’elle était limitée et ne pouvait excéder quatre heures par jour. Partant, même s’il fallait admettre qu’une telle durée resterait excessive compte tenu des atteintes de la recourante – ce qui n’est pas établi – il convient de souligner que le Dr B______ n’affirme pas que la recourante ne serait pas en mesure de fractionner son activité, par exemple à raison de deux heures le matin et l’après-midi, afin de pouvoir mettre en valeur une capacité de travail de 50 % dans une activité adaptée sans subir de diminution de rendement. Compte tenu de ces éléments, la chambre de céans retiendra que la recourante dispose d’une capacité de travail de 50 % dans une activité adaptée, comme l’a admis l’intimé.</w:t>
      </w:r>
    </w:p>
    <w:p>
      <w:r>
        <w:t>A/494/2017 - 11/13 - Elle ne fera ainsi pas droit à la requête d’expertise de la recourante – au demeurant quelque peu contradictoire puisqu’elle conclut à la fois au renvoi de la cause à l’intimé et à la mise en œuvre d’une expertise judiciaire. En effet, si un justiciable a le droit de faire administrer des preuves essentielles en vertu de la garantie constitutionnelle du droit d'être entendu (ATF 127 V 431 consid. 3a), ce droit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(ATF 130 II 425 consid. 2.1; ATF 124 V 90 consid. 4b; ATF 122 V 157 consid. 1d). 11. Reste à vérifier le calcul du degré d’invalidité auquel a procédé l’intimé. Le revenu sans invalidité est fondé sur les données statistiques, ce qui est conforme à la jurisprudence, dès lors que la recourante n’exploitait pas pleinement sa capacité de travail dans l’activité d’aide-cuisinière qu’elle exerçait sur appel. Le revenu de référence – soit le salaire statistique qu’une femme peut tirer d’activités simples et répétitives, tous domaines confondus – ne prête pas non plus flanc à la critique. C’est également à juste titre que l’intimé s’est fondé sur les mêmes données pour établir le revenu d’invalide, dès lors que la recourante n’a aucune formation particulière. Lorsque comme en l’espèce, les revenus avec et sans invalidité sont basés sur les mêmes données statistiques, il est superflu de les chiffrer avec exactitude, dès lors que le degré d'invalidité se confond avec celui de l'incapacité de travail, sous réserve d'une éventuelle réduction du revenu d'invalide (arrêt du Tribunal fédéral 9C_260/2013 du 9 août 2013 consid. 4.2 ; arrêts du Tribunal fédéral des assurances I 151/06 du 29 juin 2007 consid. 7.2.1 et I 418/03 du 23 septembre 2003 consid. 6.1). L’intimé a appliqué l’abattement sur le revenu d’invalide déjà réduit en fonction de la capacité de travail limitée (soit 10 % du revenu correspondant à la capacité de travail de 50 %), ce qui conduit à un degré d’invalidité de 55 %. C’est à juste titre que l’intimé a procédé à un tel calcul plutôt que d’additionner la réduction statistique à la diminution de la capacité de travail, ce qui aurait conduit à un degré d’invalidité de 60 % (cf. pour un calcul similaire arrêt du Tribunal fédéral arrêt 9C_663/2009 du 1er février 2010). Quant à la quotité de cette réduction statistique, la chambre de céans rappelle que l'étendue de l'abattement constitue une question relevant du pouvoir d'appréciation, qui est soumise à l'examen du juge uniquement si l’autorité a exercé son pouvoir d'appréciation de manière contraire au droit, soit a commis un excès positif ou négatif de son pouvoir d'appréciation ou a abusé de celui-ci (ATF 132 V 393 consid. 3.3). En l’espèce, si l’intimé ne s’est pas montré particulièrement généreux en tenant compte d’une réduction de 10 %, il n’en est pas moins resté dans les limites de son pouvoir d’appréciation, si bien que la chambre de céans n’est pas fondée à revoir ce point.</w:t>
      </w:r>
    </w:p>
    <w:p>
      <w:r>
        <w:t>A/494/2017 - 12/13 - Le degré d’invalidité de 55 % doit partant être confirmé. Le début du droit à la rente, fixé au 1er novembre 2015 par l’intimé, soit six mois après le dépôt de la demande, est conforme à l’art. 29 al. 1 LAI, étant précisé que la date déterminante n’est pas celle de l’envoi de la demande mais de sa réception (Stéphane Blanc, La procédure administrative en assurance-invalidité, thèse Fribourg 1999, p. 78). S’agissant du droit aux mesures d’ordre professionnel, leur refus est également fondé. En effet, le salaire d’invalide retenu par l’intimé correspond aux possibilités de gain de la recourante avant la survenance de l’invalidité. Il se fonde en outre sur le revenu tiré d’activités simples et répétitives, dont bon nombre sont accessibles sans formation particulière. Partant, un reclassement s’avère inutile. Quant à l’aide au placement, les conditions dégagées par la jurisprudence pour son octroi ne sont pas réalisées en l’espèce. 12. Eu égard à ce qui précède, le recours sera rejeté. La recourante succombant, elle n’a pas droit à des dépens (art. 61 let. g LPGA). Elle sera en outre condamnée au paiement d’un émolument de CHF 200.-, la procédure en matière d’assurance-invalidité n'étant pas gratuite (art. 69 al. 1bis LAI).</w:t>
      </w:r>
    </w:p>
    <w:p>
      <w:r>
        <w:t>A/494/2017 - 13/13 -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