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ATAS/877/2024 vom 31. Oktober 2024</w:t>
      </w:r>
    </w:p>
    <w:p>
      <w:r>
        <w:t>GE Cour de justice, 2024-10-31, FR</w:t>
      </w:r>
    </w:p>
    <w:p>
      <w:r>
        <w:rPr>
          <w:b/>
        </w:rPr>
        <w:t xml:space="preserve">Quelle: </w:t>
      </w:r>
      <w:r>
        <w:t>https://mcp.opencaselaw.ch/entscheid/ge_gerichte_ATAS_877_2024</w:t>
      </w:r>
    </w:p>
    <w:p>
      <w:r>
        <w:t>FR: GE_GERICHTE ATAS/877/2024 du 31 octobre 2024</w:t>
      </w:r>
    </w:p>
    <w:p>
      <w:r>
        <w:t>IT: GE_GERICHTE ATAS/877/2024 del 31 ottobre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À teneur de l'art. 1 al. 1 LAI, les dispositions de la LPGA s’appliquent à l'assurance-invalidité, à moins que la loi n’y déroge expressément. Selon l'art. 61 let. b LPGA, sous réserve de l'art. 1 al. 3 de la loi fédérale sur la procédure administrative du 20 décembre 1968 (PA - RS 172.021), la procédure devant le tribunal cantonal des assurances est réglée par le droit cantonal. Elle doit satisfaire aux exigences suivantes : (...)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L’art. 89B de la loi sur la procédure administrative du 12 septembre 1985 (LPA - E 5 10) prévoit que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 b) un exposé succinct des faits ou des motifs invoqués ; c) des conclusions (al. 1). Si la lettre ou le mémoire n'est pas conforme à ces règles, la chambre des assurances sociales de la Cour de justice impartit un délai</w:t>
      </w:r>
    </w:p>
    <w:p>
      <w:r>
        <w:t>A/4134/2023 - 5/12 - convenable à son auteur pour le compléter en indiquant qu'en cas d'inobservation la demande ou le recours est écarté (al. 2). Ces exigences formelles doivent permettre à la juridiction cantonale de comprendre, au regard du recours (et le cas échéant de son complément) (ATAS/163/2015 du 3 mars 2015) : - les faits pertinents de la cause, dont – lorsqu’est invoquée une constatation inexacte ou incomplète des faits pertinents (art. 61 al. 1 let. b LPA) – quels faits sont prétendument inexacts ou incomplets, et en quoi ils sont inexacts ou incomplets et en plus pertinents pour la solution du litige ; - les griefs que le recourant émet à l’encontre de la décision attaquée, à savoir en quoi la décision attaquée est prétendument contraire au droit, consacre un excès ou un abus du pouvoir d’appréciation (art. 61 al. 1 let. a LPA), et/ou repose sur des faits établis de façon inexacte ou incomplète (art. 61 al. 1 let. b LPA) ; - ce que le recourant demande de la juridiction saisie.</w:t>
      </w:r>
    </w:p>
    <w:p>
      <w:r>
        <w:rPr>
          <w:b/>
        </w:rPr>
        <w:t>E. 2.2</w:t>
      </w:r>
    </w:p>
    <w:p>
      <w:r>
        <w:t>A teneur de l’art. 56 al. 1 LPGA, les décisions sur opposition et celles contre lesquelles la voie de l’opposition n’est pas ouverte sont sujettes à recours. Selon l’art. 69 al. 1 let. a LAI, en dérogation à l’art. 52 LPGA, les décisions des offices AI cantonaux peuvent directement faire l’objet d’un recours devant le tribunal des assurances du domicile de l’office concerné. Préalablement, l’office AI communique à l’assuré, au moyen d’un préavis, toute décision finale qu’il entend prendre au sujet d’une demande de prestations ou au sujet de la suppression ou de la réduction d’une prestation déjà allouée, l’assuré ayant le droit d’être entendu conformément à l’art. 42 LPGA (art. 57a al. 1 LAI). L’assuré peut faire part à l’office AI de ses observations sur le préavis dans un délai de trente jours, par écrit ou oralement, lors d’un entretien personnel (art. 73ter al. 1 et 2 du règlement du 17 janvier 1961 sur l’assurance-invalidité du 17 janvier 1961 [RAI - RS 831.201]). Lorsque l’instruction de la demande est achevée, l’office AI se prononce sur la demande de prestations, la motivation tenant compte des observations qui ont été faites par les parties sur le préavis, pour autant qu’elles portent sur des points déterminants (art. 74 al. 1 et 2 RAI).</w:t>
      </w:r>
    </w:p>
    <w:p>
      <w:r>
        <w:rPr>
          <w:b/>
        </w:rPr>
        <w:t>E. 2.3</w:t>
      </w:r>
    </w:p>
    <w:p>
      <w:r>
        <w:t>Le délai de recours est de trente jours (art. 56 LPGA; art. 62 al. 1 de la loi sur la procédure administrative, du 12 septembre 1985 [LPA - E 5 10]).</w:t>
      </w:r>
    </w:p>
    <w:p>
      <w:r>
        <w:rPr>
          <w:b/>
        </w:rPr>
        <w:t>E. 2.4</w:t>
      </w:r>
    </w:p>
    <w:p>
      <w:r>
        <w:t>En l’espèce, l’intimé a adressé à la recourante, le 10 novembre 2023, un projet de décision, lequel ne constitue pas une décision formelle sujette à recours. En tant qu’il est dirigé contre ce projet, le recours adressé à la Cour de céans le 8 décembre 2023 est prématuré et, partant, irrecevable.</w:t>
      </w:r>
    </w:p>
    <w:p>
      <w:r>
        <w:t>A/4134/2023 - 6/12 - La décision formelle, rendue le 12 décembre 2023, ne pouvait par définition pas être l’objet du recours déposé quatre jours plus tôt, le 8 décembre 2023. Cela étant, la recourante l’a transmise à la Cour de céans en date du 14 décembre 2023, comme étant l’objet de son recours. On peut dès lors se demander si ce n’est pas ce courrier du 14 décembre 2023 qui devrait être considéré comme valant recours contre la décision formelle du 12 décembre 2023. La question de la recevabilité de ce courrier, en tant que recours, peut toutefois rester ouverte, dès lors que même s’il devait être considéré comme recevable, ledit recours doit de toute manière être rejeté pour les motifs suivants.</w:t>
      </w:r>
    </w:p>
    <w:p>
      <w:r>
        <w:rPr>
          <w:b/>
        </w:rPr>
        <w:t>E. 3</w:t>
      </w:r>
    </w:p>
    <w:p>
      <w:r>
        <w:t>Le 1er janvier 2022, les modifications du 19 juin 2020 de la LAI sont entrées en vigueur (développement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le litige porte sur l'octroi d'une allocation pour impotent dont le droit est né postérieurement au 31 décembre 2021, de sorte que la législation en vigueur depuis le 1er janvier 2022 est applicable.</w:t>
      </w:r>
    </w:p>
    <w:p>
      <w:r>
        <w:rPr>
          <w:b/>
        </w:rPr>
        <w:t>E. 4</w:t>
      </w:r>
    </w:p>
    <w:p>
      <w:r>
        <w:t>En l’espèce, la recourante a bénéficié d’une allocation pour impotent de degré moyen (aide pour cinq actes ordinaires de la vie) du 1er avril au 31 octobre 2023, avec un supplément pour soins intenses de plus de quatre heures du 1er août 2022 au 31 octobre 2023. Concrètement, les mois précédant sa majorité, la recourante a bénéficié, mensuellement, d’un montant total de CHF 2'205.- (CHF 1'225.50 d’allocation pour impotent de degré moyen [40.85 x 30 jours] + CHF 979.50 à titre de supplément pour soins intenses [32.65 x 30 jours]). La recourante étant devenue majeure le 10 octobre 2023, son droit à une allocation pour impotent a été réexaminé sous l’angle des conditions applicables aux personnes majeures et seul le droit à une allocation pour impotence de degré moyen lui a été reconnu, à l’exclusion du supplément pour soins intenses. La recourante conteste la « diminution de prestations » occasionnée par le passage à l’âge adulte, tout en rappelant avoir bénéficié jusqu’à peu de temps avant sa majorité d’une allocation pour impotence grave. On peut comprendre de son argumentation qu’elle conteste donc tant la suppression du supplément pour soins intenses que la réduction du taux de l’allocation pour impotent.</w:t>
      </w:r>
    </w:p>
    <w:p>
      <w:r>
        <w:t>A/4134/2023 - 7/12 -</w:t>
      </w:r>
    </w:p>
    <w:p>
      <w:r>
        <w:rPr>
          <w:b/>
        </w:rPr>
        <w:t>E. 5.1</w:t>
      </w:r>
    </w:p>
    <w:p>
      <w:r>
        <w:t>Selon l’art. 42 al. 1 1ère phrase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w:t>
      </w:r>
    </w:p>
    <w:p>
      <w:r>
        <w:rPr>
          <w:b/>
        </w:rPr>
        <w:t>E. 5.2</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stipule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w:t>
      </w:r>
    </w:p>
    <w:p>
      <w:r>
        <w:t>A/4134/2023 - 8/12 -</w:t>
      </w:r>
    </w:p>
    <w:p>
      <w:r>
        <w:rPr>
          <w:b/>
        </w:rPr>
        <w:t>E. 5.3</w:t>
      </w:r>
    </w:p>
    <w:p>
      <w:r>
        <w:t>Selon la jurisprudence, les actes élémentaires de la vie quotidienne se répartissent en six domaines : 1. se vêtir et se dévêtir ; 2. se lever, s’asseoir et se coucher ; 3. manger ; 4. faire sa toilette (soins du corps) ; 5. aller aux toilettes ;</w:t>
      </w:r>
    </w:p>
    <w:p>
      <w:r>
        <w:rPr>
          <w:b/>
        </w:rPr>
        <w:t>E. 6</w:t>
      </w:r>
    </w:p>
    <w:p>
      <w:r>
        <w:t>se déplacer à l’intérieur ou à l’extérieur et établir des contacts sociaux (arrêt du Tribunal fédéral 8C_691/2014 du 16 octobre 2015 consid. 3.3 et les références). De manière générale, on ne saurait considérer apte à un acte ordinaire de la vie l’assuré qui ne peut l’accomplir que d’une façon non conforme aux mœurs usuelles (ATF 106 V 153 consid. 2b). L’aide est régulière lorsque l’assuré en a besoin ou pourrait en avoir besoin chaque jour (arrêt du Tribunal fédéral 9C_562/2016 du 13 janvier 2017 consid. 5.3 et les références). L’aide est importante lorsque l’assuré ne peut plus accomplir seul au moins une fonction partielle d’un acte ordinaire de la vie (ATF 121 V 88 consid. 3c et les références ; ATF 107 V 136 consid. 1b), lorsqu’il ne peut le faire qu’au prix d’un effort excessif ou d’une manière inhabituelle ou que, en raison de son état psychique, il ne peut l’accomplir sans incitation particulière (ATF 106 V 153 consid. 2a et 2b),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w:t>
      </w:r>
    </w:p>
    <w:p>
      <w:r>
        <w:rPr>
          <w:b/>
        </w:rPr>
        <w:t>E. 6.1</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w:t>
      </w:r>
    </w:p>
    <w:p>
      <w:r>
        <w:rPr>
          <w:b/>
        </w:rPr>
        <w:t>E. 6.2</w:t>
      </w:r>
    </w:p>
    <w:p>
      <w:r>
        <w:t>En vertu de l’art. 42ter al. 3 1ère phrase LAI, l’allocation versée aux mineurs impotents qui, en plus, ont besoin de soins intenses, est augmentée d’un supplément pour soins intenses ; celui-ci n’est pas accordé lors d’un séjour dans un home.</w:t>
      </w:r>
    </w:p>
    <w:p>
      <w:r>
        <w:t>A/4134/2023 - 9/12 - Le supplément pour soins intenses n’est pas une prestation indépendante, il implique la préexistence d’une allocation pour impotent (arrêt du Tribunal fédéral 9C_350/2014 du 11 septembre 2014 consid. 4.2.1 et la référence). Un supplément pour soins intenses peut donc être ajouté à l’allocation pour impotent lorsque celle-ci est servie à un mineur qui a en outre besoin d’un surcroît de soins dont l’accomplissement atteint le seuil minimum quotidien de quatre heures (cf. art. 42ter al. 3 LAI et 39 al. 1 RAI).</w:t>
      </w:r>
    </w:p>
    <w:p>
      <w:r>
        <w:rPr>
          <w:b/>
        </w:rPr>
        <w:t>E. 7</w:t>
      </w:r>
    </w:p>
    <w:p>
      <w:r>
        <w:t>Selon l'art. 17 al. 2 LPGA, toute prestation durable – telle l’allocation d’impotence (arrêt du Tribunal fédéral 8C_533/2019 consid. 3.1) – accordée en vertu d’une décision entrée en force est, d’office ou sur demande, augmentée ou réduite en conséquence, ou encore supprimée si les circonstances dont dépendait son octroi changent notablement. Au vu des règles différentes en matière d’octroi de l’allocation pour impotent, le passage de l’allocation pour impotent selon l’art. 42bis LAI à celle de l’art. 42 LAI lorsque l’assuré atteint sa dix-huitième année constitue un motif de révision (VALTERIO, op. cit., n. 8 ad art. 42bis LAI). En d’autres termes, l’accession à l’âge de la majorité ne doit pas être considérée comme la survenance d’un nouveau cas d’assurance, si bien que le droit à une allocation pour impotent mineur ne peut pas être examiné librement et complètement à la majorité mais uniquement sous l’angle d’une révision. Le moment d’une éventuelle diminution ou suppression de l’allocation pour impotent se détermine par conséquent selon l’art. 88bis al. 2 RAI (ATF 137 V 424 consid. 3). Selon la Circulaire sur l’impotence (CSI), les assurés mineurs qui, à leur 18e anniversaire, sont au bénéfice d’une allocation pour impotent pour mineurs sont considérés comme étant annoncés pour l’allocation pour impotent pour adultes. Ils doivent toutefois remplir pour cela le formulaire officiel, qui leur est envoyé par l’office AI (ch. 6008). Si toutes les autres conditions sont remplies, le droit à l’allocation pour impotent pour adulte prend naissance le mois suivant leur 18e anniversaire. L’office AI examine d’office le droit à ces prestations, en particulier s’il existe dès le 18e anniversaire un besoin d’accompagnement pour faire face aux nécessités de la vie (ch. 6009). Le droit d’une personne mineure à l’allocation pour impotent et celui de cette même personne devenue majeure relèvent d’un seul cas d’assurance (ATF 137 V 424). Lorsque la personne mineure accède à la majorité, son droit à l’allocation pour impotent ne peut donc pas être examiné librement et en détail, mais peut l’être uniquement sous l’angle du droit de la révision (ch. 6010). Le droit à un supplément pour soins intenses est supprimé lors de l’accession à la majorité (ATF 137 V 424 consid. 3.3.3.1).</w:t>
      </w:r>
    </w:p>
    <w:p>
      <w:r>
        <w:rPr>
          <w:b/>
        </w:rPr>
        <w:t>E. 8.1</w:t>
      </w:r>
    </w:p>
    <w:p>
      <w:r>
        <w:t>La plupart des éventualités assurées (par exemple la maladie, l’accident, l’incapacité de travail, l’invalidité, l’atteinte à l’intégrité physique ou mentale)</w:t>
      </w:r>
    </w:p>
    <w:p>
      <w:r>
        <w:t>A/4134/2023 - 10/12 -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8.2</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on relèvera en premier lieu que le supplément pour soins intenses n’est prévu que pour les assurés mineurs (cf. message du Conseil fédéral concernant la 4e révision de la LAI, FF 2002 3045 p. 3135) et qu’avec l’accession à la majorité, une telle prestation est supprimée (cf. ATF 137 V 424 consid. 3.3.3.1). C’est donc à juste titre que l’OAI ne l’a pas accordé à la recourante une fois que celle-ci est devenue majeure. Ce grief ne peut donc qu’être écarté.</w:t>
      </w:r>
    </w:p>
    <w:p>
      <w:r>
        <w:t>A/4134/2023 - 11/12 - Cela étant, en lieu et place de ce supplément pour soins intenses, des prestations complémentaires peuvent être demandées par l’assuré majeur (cf. message du Conseil fédéral concernant la 4ème révision de la LAI, FF 2002 3045 p. 3135). S’agissant du degré de l’allocation pour impotent, si l’office intimé a retenu le besoin d’une aide importante et permanente pour cinq des actes ordinaires de la vie quotidienne (« se vêtir et se dévêtir », « manger », « faire sa toilette (soins du corps) », « aller aux toilettes » et « se déplacer à l’intérieur ou à l’extérieur et établir des contacts sociaux »), il l’a en revanche nié pour l’acte consistant à « se lever, s’asseoir et se coucher ». En ce qui concerne cet acte ordinaire de la vie, il y a impotence lorsqu’il est impossible à l’assuré de se lever, de s’asseoir ou de se coucher sans l’aide d’un tiers. S’il peut néanmoins effectuer des changements de position lui-même, il n’y a pas impotence (CIIAI, ch. 8015). L’aide d’autrui nécessitée pour se lever de sièges bas (dont l’assuré n’a pas absolument besoin) ou du sol ou pour monter dans une automobile n’est pas importante et quotidienne. Par conséquent, on n’est pas en présence d’un cas d’impotence régulière et importante (RCC 1987 p. 263 consid. 2b). En revanche, s’il est impossible à l’assuré de se mettre lui-même au lit, il est considéré comme impotent en ce qui concerne cet acte ordinaire de la vie (CIIAI, ch. 8016). Selon l’enquête à domicile, l’assurée marche depuis l’âge de sept ans. Elle utilise une chaise roulante pour les longues distances. Cela étant, elle se lève, s’asseye et se couche sans aide. Cela n’est pas contesté et ressort des déclarations faites à l’enquêtrice et dûment relatées dans son rapport. Dès lors, c’est à juste titre que l’acte de « se lever, s’asseoir et se coucher » n’a pas été retenu au nombre de ceux nécessitant l’aide importante et régulière d’autrui et que le droit à une allocation pour impotent de degré moyen a été reconnu à la recourante.</w:t>
      </w:r>
    </w:p>
    <w:p>
      <w:r>
        <w:rPr>
          <w:b/>
        </w:rPr>
        <w:t>E. 11</w:t>
      </w:r>
    </w:p>
    <w:p>
      <w:r>
        <w:t>Au vu de ce qui précède, le recours est rejeté dans la mesure de sa recevabilité. Il n’y a pas lieu d’allouer de dépens à la recourante, qui n’est pas représentée et qui n’obtient pas gain de cause (art. 61 let. g LPGA). La procédure en matière d'assurance-invalidité n'étant pas gratuite (art. 69 al. 1bis LAI), un émolument de CHF 200.- est mis à la charge de la recourante.</w:t>
      </w:r>
    </w:p>
    <w:p>
      <w:r>
        <w:t>***</w:t>
      </w:r>
    </w:p>
    <w:p>
      <w:r>
        <w:t>A/4134/2023 - 12/12 -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