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ATAS/877/2017 vom 10. Oktober 2017</w:t>
      </w:r>
    </w:p>
    <w:p>
      <w:r>
        <w:t>GE Cour de justice, 2017-10-10, FR</w:t>
      </w:r>
    </w:p>
    <w:p>
      <w:r>
        <w:rPr>
          <w:b/>
        </w:rPr>
        <w:t xml:space="preserve">Quelle: </w:t>
      </w:r>
      <w:r>
        <w:t>https://mcp.opencaselaw.ch/entscheid/ge_gerichte_ATAS_877_2017</w:t>
      </w:r>
    </w:p>
    <w:p>
      <w:r>
        <w:t>FR: GE_GERICHTE ATAS/877/2017 du 10 octobre 2017</w:t>
      </w:r>
    </w:p>
    <w:p>
      <w:r>
        <w:t>IT: GE_GERICHTE ATAS/877/2017 del 10 ottobre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30 jours (art. 60 al. 1 LPGA). Interjeté dans la forme et le délai prévus par la loi, le recours est recevable, en vertu des art. 56 ss LPGA.</w:t>
      </w:r>
    </w:p>
    <w:p>
      <w:r>
        <w:rPr>
          <w:b/>
        </w:rPr>
        <w:t>E. 3</w:t>
      </w:r>
    </w:p>
    <w:p>
      <w:r>
        <w:t>L’objet du litige porte sur la question de savoir si la recourante a droit à des prestations d'invalidité.</w:t>
      </w:r>
    </w:p>
    <w:p>
      <w:r>
        <w:rPr>
          <w:b/>
        </w:rPr>
        <w:t>E. 4</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w:t>
      </w:r>
    </w:p>
    <w:p>
      <w:r>
        <w:t>A/3431/2016 - 10/20 -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w:t>
      </w:r>
    </w:p>
    <w:p>
      <w:r>
        <w:rPr>
          <w:b/>
        </w:rPr>
        <w:t>E. 5</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w:t>
      </w:r>
    </w:p>
    <w:p>
      <w:r>
        <w:t>A/3431/2016 - 11/20 -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w:t>
      </w:r>
    </w:p>
    <w:p>
      <w:r>
        <w:t>A/3431/2016 - 12/20 -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6</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7</w:t>
      </w:r>
    </w:p>
    <w:p>
      <w:r>
        <w:t>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w:t>
      </w:r>
    </w:p>
    <w:p>
      <w:r>
        <w:t>En l'occurrence, l’intimé a retenu, en se fondant sur l’expertise du BEM, que la recourante présentait une incapacité de travail de 70% de janvier à décembre 2012 en raison d’atteintes somatiques uniquement, et une incapacité de travail de 50% dès janvier 2013, en raison d’atteintes psychiques (et rhumatologiques entre juin et septembre 2015). Dès le 29 septembre 2015, sa capacité de travail était entière dans toute activité. Sur le plan psychique, les experts ont retenu que la recourante présentait un épisode dépressif moyen avec syndrome somatique (F32.11) qui entraînait une incapacité de travail de 50% depuis novembre 2012.</w:t>
      </w:r>
    </w:p>
    <w:p>
      <w:r>
        <w:t>A/3431/2016 - 13/20 - La Chambre de céans estime toutefois que ces conclusions ne sont pas convaincantes, pour les motifs qui suivent. Les experts ont expliqué que selon toute vraisemblance, la recourante avait développé dans les suites de l’accident en 2010 un état de stress post-traumatique. Par la suite, le trouble anxieux s’était compliqué par la survenue d’un syndrome dépressif favorisé par divers facteurs de stress, dont la maladie grave de son mari diagnostiquée au début de 2012 et l’apparition d’une mastite récidivante. Au pire de ces symptômes, en 2012, la recourante était devenue suicidaire. Son médecin lui avait prescrit des antidépresseurs, sans grand effet. Il l’avait alors encouragée à entreprendre dans le courant 2012 une psychothérapie auprès d'un psychologue. Le traitement spécialisé, qui avait pris fin en décembre 2014, avait eu un bon effet, bien que des éléments anxieux et dépressifs persistaient encore (p. 55 du rapport d'expertise). Compte tenu de ce qui précède, la Chambre de céans peine à comprendre pour quelles raisons le taux d'incapacité de travail de 50% constaté par les experts lors de leur examen le 5 juin 2015 - soit après que la recourante ait suivi pendant plus de 2 ans une psychothérapie ayant eu un effet positif – est identique à celui que présentait la recourante dès 2012, soit l'année où elle était au pire des symptômes et suicidaire. S'agissant du début de l'incapacité de travail, les experts ont expliqué que c’était en 2011-2012 que l’état psychique de la recourante aurait été le plus altéré, mais que cela n’était pas documenté. Selon l’anamnèse, qui leur paraissait plausible, l’état psychique se serait aggravé après l’annonce de son licenciement, de sorte qu’il paraissait raisonnable de faire remonter l’incapacité de travail actuelle à novembre 2012 (p. 56 rapport d'expertise). La Chambre de céans est d'avis que si l’état psychique de la recourante s’est certes aggravé lors de l’annonce de son licenciement le 12 octobre 2012, on ne saurait toutefois retenir que sa capacité de travail était entière jusqu'au 31 octobre 2012, puisqu'il apparaît que des antidépresseurs lui ont été prescrits avant ce mois-là et qu'une psychothérapie a été débutée dès juillet 2012. À cet égard, la Chambre de céans relèvera que les experts n’ont sollicité aucune information complémentaire auprès de M. E______, alors que ce dernier a pourtant suivi la recourante de juillet 2012 à décembre 2014. Qui plus est, lors de l’examen effectué par les experts, ceux-ci ont retenu que la recourante présentait une seule atteinte psychique, soit un épisode dépressif moyen avec syndrome somatique (p. 46 du rapport d'expertise). Or, de manière contradictoire, les experts ont ensuite expliqué que sur le plan anxieux, ils avaient constaté un manque de confiance en soi, certains évitements et une altération du sommeil, de sorte qu’ils retenaient le diagnostic d’état de stress post-traumatique au décours (p. 55 du rapport d'expertise). En outre, selon les explications fournies par les experts, il apparaît que le trouble anxieux a une influence sur la capacité de</w:t>
      </w:r>
    </w:p>
    <w:p>
      <w:r>
        <w:t>A/3431/2016 - 14/20 - travail de la recourante puisqu'ils ont expressément indiqué que les deux pathologies (le trouble dépressif et le trouble anxieux) se renforçaient mutuellement et entraînaient une incapacité de travail (p. 56 du rapport d’expertise). Sur le plan somatique, la Chambre de céans constate que les experts se contredisent également. On relèvera en effet que les experts ont d'abord indiqué que les synovites multiples à tendance symétrique, d’origine indéterminée entraînaient une incapacité de travail de 50% dans l’activité habituelle (p. 53 du rapport d’expertise), puis, de manière contradictoire, ils ont retenu une incapacité de travail de 40% (pp. 57 et 58 du rapport d'expertise). S’agissant des répercussions sur la tenue du ménage également, ils ont expliqué d'abord que l’incapacité était de 30% (p. 53 du rapport d'expertise), pour ensuite retenir, sans aucune explication, un taux de 50% (pp. 57 et 58 du rapport d’expertise). Par ailleurs, les experts ont retenu que seules les synovites multiples avaient une répercussion sur la capacité de travail de la recourante, laquelle présentait en outre, sans répercussion sur sa capacité de travail, des troubles statiques du rachis, une ébauche de coxarthrose droite et un status après fracture de la cheville droite (p. 46 du rapport d'expertise). Or, les experts ont expliqué que dans un travail administratif comme celui réalisé lors du stage en 2013, l’ensemble de ces derniers diagnostics ne jouaient pas de rôle limitatif (p. 53 du rapport d'expertise), laissant ainsi entendre que ces atteintes joueraient un rôle limitatif dans l’activité habituelle d’infirmière de laboratoire qui nécessitait de marcher souvent et de porter quelques charges (de 5 à 10 kg). Pour l’ensemble de ces motifs, la Chambre de céans est d’avis que le rapport d’expertise, tant sur le plan somatique que psychique, ne remplit pas les conditions jurisprudentielles permettant de lui accorder une pleine valeur probante. Par ailleurs, l’intimé a retenu, en se fondant sur l’avis du SMR du 13 juillet 2016, que la recourante ne présente aucune atteinte incapacitante à compter du 29 septembre 2015. Selon le SMR, depuis que la recourante était suivie par le Dr I______, il n’y avait plus d’atteinte ayant une répercussion sur sa capacité de travail. Or, la Chambre de céans constate que le point de vue du SMR se fonde uniquement sur un entretien téléphonique qu’il a eu avec le Dr I______ le 13 juillet 2016, à la suite duquel une note a été établie et selon laquelle le médecin traitant aurait affirmé notamment que la recourante ne lui avait jamais présenté de plaintes sur un mode dépressif, que la psychothérapie n’était plus poursuivie et qu’il confirmait que depuis qu’il suivait la recourante, il n’y avait pas de limitations fonctionnelles justifiant une diminution de la capacité de travail. On relèvera qu'il s’agit là toutefois de propos rapportés et résumés qu’il convient pour ce motif d’apprécier avec retenue (cf. arrêt du Tribunal fédéral 9C_723/2015 du 6 avril 2016 consid. 5.2). Or, force est de constater que ces propos ne correspondent pas à la teneur du rapport que le Dr I______ a établi un mois auparavant seulement, soit le</w:t>
      </w:r>
    </w:p>
    <w:p>
      <w:r>
        <w:t>A/3431/2016 - 15/20 -</w:t>
      </w:r>
    </w:p>
    <w:p>
      <w:r>
        <w:rPr>
          <w:b/>
        </w:rPr>
        <w:t>E. 13</w:t>
      </w:r>
    </w:p>
    <w:p>
      <w:r>
        <w:t>juin 2016, et dans lequel il indiquait que la recourante, qui suivait une psychothérapie, présentait un état dépressif modéré avec syndrome somatique, précisant que l’activité habituelle n’était plus exigible et qu'il existait plusieurs limitations fonctionnelles. Pour ce motif, les conclusions du SMR concernant la capacité de travail de la recourante à compter du 29 septembre 2015 ne peuvent pas non plus être confirmées. Force est donc de constater l'absence d'informations fiables et suffisantes sur l'état de santé de la recourante dès 2012, sur les diagnostics entraînant une répercussion sur sa capacité de travail, sur les limitations fonctionnelles qu'ils entraînent et sur les taux de sa capacité de travail. La Chambre de céans n’est ainsi pas, en l'état, en mesure d’apprécier de manière adéquate la situation médicale de la recourante. Pour ce motif déjà, la décision litigieuse doit être annulée. 9. a. Il convient encore d'examiner le statut de la recourante, l'intimé ayant retenu un statut mixte (60% dans l'activité lucrative et 40% dans l'activité ménagère), ce que la recourante conteste en invoquant la jurisprudence récente rendue par la CourEDH. b.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w:t>
      </w:r>
    </w:p>
    <w:p>
      <w:r>
        <w:rPr>
          <w:b/>
        </w:rPr>
        <w:t>E. 17</w:t>
      </w:r>
    </w:p>
    <w:p>
      <w:r>
        <w:t>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w:t>
      </w:r>
    </w:p>
    <w:p>
      <w:r>
        <w:t>A/3431/2016 - 16/20 -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ATF 137 V 334 consid. 3.2; ATF 125 V 146 consid. 2c ainsi que les références). c. Selon l'arrêt de la CourEDH Di Trizio contre Suisse du 2 février 2016 (n° 7186/09), l'application dans l'assurance-invalidité de la méthode mixte d'évaluation de l'invalidité à une assurée qui, sans atteinte à la santé, n'aurait travaillé qu'à temps partiel après la naissance de ses enfants et s'est vue de ce fait supprimer la rente d'invalidité en application des règles sur la révision de la rente constitue une violation de l'art. 14 CEDH (interdiction de la discrimination) en relation avec l'art. 8 CEDH (droit au respect de la vie privée et familiale; arrêt du Tribunal fédéral 9C_473/2016 du 25 janvier 2017 consid. 4). On ne saurait déduire des considérants de l'arrêt de la CourEDH que la méthode mixte d'évaluation de l'invalidité « viole la Convention » sans égard à la situation concrète dont avait à juger la CourEDH (arrêt du Tribunal fédéral 9C_473/2016, op. cit., consid. 4). Ainsi, la suppression d'une rente d'invalidité dans le cadre d'une révision est contraire à la CEDH lorsque seuls des motifs d'ordre familial (la naissance d'enfants et la réduction de l'activité professionnelle qui en découle) conduisent à un changement de statut de « personne exerçant une activité lucrative à plein temps » à « personne exerçant une activité lucrative à temps partiel » (en consacrant son temps libre à l'accomplissement de travaux habituels; ATF 143 I 50 consid. 4). La diminution d'une rente dans le cadre d'une révision est aussi contraire à la CEDH lorsque seuls des motifs d'ordre familial (la naissance d'enfants et la réduction de l'activité professionnelle qui en découle) conduisent à un changement de statut de "personne exerçant une activité lucrative à plein temps" à "personne exerçant une activité lucrative à temps partiel" (en consacrant son temps libre à l'accomplissement de travaux habituels; ATF 143 I 60 consid. 3.3.4). La méthode mixte reste applicable lorsque le changement de statut n’était pas dicté par des motifs familiaux, ou lorsque l’octroi initial d’une rente concerne une personne active à temps partiel pendant toute la durée de la période déterminante (ATF 143 I 50 consid. 4.1 et 4.4). Par la suite, le Tribunal fédéral a contesté l’existence d’une violation des art.14 et 8 CEDH en cas d’application de la méthode mixte à une assurée travaillant à temps partiel et qui n’avait plus de responsabilités éducatives envers des enfants mineurs (arrêts du Tribunal fédéral 9C_514/2016 du 18 janvier 2017 consid. 3.2.1). Il a également nié une telle violation dans les cas suivants : assurée qui travaillait à temps partiel avant la naissance de sa fille déjà (arrêt du Tribunal fédéral 9C_525/2016 du 15 mars 2017 consid. 4), assurée travaillant à temps partiel avant son mariage et la naissance de son fils, dont la garde était du reste assumée par le</w:t>
      </w:r>
    </w:p>
    <w:p>
      <w:r>
        <w:t>A/3431/2016 - 17/20 - père (arrêt du Tribunal fédéral 9C_179/2016 du 11 août 2016 consid. 4.3.3 et 5), assurée vivant seule avec son époux (arrêt du Tribunal fédéral 9C_552/2016 du 9 mars 2017 consid. 4.1 et 4.3), assurée travaillant depuis des années à 80 % (arrêt du Tribunal fédéral 9C_615/2016 du 21 mars 2017 consid. 5.2), assurée mère de deux fils adultes et vivant seule avec son époux (arrêt du Tribunal fédéral 9C_646/2016 du 16 mars 2017 consid. 7. 2), assurée dont les enfants sont majeurs, de sorte que la volonté (hypothétique) de travailler à temps partiel ne repose pas sur un motif d'ordre familial (arrêt du Tribunal fédéral 9C_473/2016 du 25 janvier 2017 consid. 4), assurée divorcée vivant avec son fils majeur et n’ayant pas de motif familial de travailler à temps partiel (arrêt du Tribunal fédéral 8C_633/2015 du 12 février 2016 consid. 4.3). Dans le cas d’une assurée active à 57 %, vivant avec son époux et ses deux enfants adultes, le Tribunal fédéral a confirmé que la méthode mixte s’appliquait malgré l’arrêt Di Trizio, car il s’agissait d’une première demande et non d’une révision du droit à la rente (arrêt du Tribunal fédéral 9C_820/2016 du 19 avril 2017 consid. 3.2). S’agissant d’une aide de cuisine travaillant à 80 % tout en s’occupant de ses enfants, à qui l’OAI avait octroyé une rente entière limitée dans le temps, le Tribunal fédéral a répété que la situation n’était pas comparable à celle du cas Di Trizio, dès lors qu’il s’agissait d’un octroi initial de rente à une personne active à temps partiel pendant toute la période pour laquelle des prestations pouvaient entrer en ligne de compte (arrêt du Tribunal fédéral 9C_843/2016 du 11 avril 2017 consid. 5.2). d. La situation de la recourante - mariée, sans enfant et qui travaillait auprès de son employeur à temps partiel depuis plus de 11 ans lorsque son incapacité de travail de longue durée a débuté le 9 décembre 2010 - diffère clairement de celles dans lesquelles on peut, selon le Tribunal fédéral, renoncer à l’application de la méthode mixte, puisqu'il s'agit de l'octroi initial éventuel d'une rente concernant une personne active à temps partiel pendant toute la période déterminante. Force est ainsi de constater que l'intimé a, à juste titre, retenu un statut mixte. 10. a. 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 16 LPGA); on pourra alors apprécier l'invalidité globale d'après le temps</w:t>
      </w:r>
    </w:p>
    <w:p>
      <w:r>
        <w:t>A/3431/2016 - 18/20 -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b.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une telle enquête a valeur probante.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(ATF 129 V 67 consid. 2.3.2 non publié au Recueil officiel mais dans VSI 2003 p. 221; arrêt du Tribunal fédéral des assurances I 733/06 du 16 juillet 2007).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arrêts du Tribunal fédéral des assurances I 308/04 et I 309/04 du 14 janvier 2005). c. En l'occurrence, l'intimé a renoncé à effectuer une enquête économique sur le ménage sur une période révolue étant donné que la recourante avait recouvré une</w:t>
      </w:r>
    </w:p>
    <w:p>
      <w:r>
        <w:t>A/3431/2016 - 19/20 - capacité de travail entière dès le 29 septembre 2015. Il a estimé que dans la part ménagère, lors des périodes de reprises de travail à 50%, au vu des limitations fonctionnelles et de l'exigibilité des membres de la famille, il n'y avait pas d'empêchements dans la tenue du ménage, si ce n'était peut-être une certaine fatigabilité ou lenteur. Force est de constater que l'instruction menée par l'intimé est lacunaire. Dans la mesure où le statut mixte a été retenu, il y avait lieu d'examiner, compte tenu des circonstances concrètes du cas particulier, s'il existait des empêchements dans la tenue du ménage méritant d'être pris en considération, et ce au moyen d'une enquête sur place effectuée par une personne qualifiée et ayant connaissance de la situation locale et spatiale, même si cette enquête devait porter sur une période révolue. L'intimé ne pouvait effectuer un examen général et abstrait de la situation de la recourante et conclure que celle-ci ne présentait aucun empêchement dans la tenue du ménage. Pour ce motif également, la décision litigieuse doit être annulée. Compte tenu de ce qui précède, il convient de renvoyer la cause à l'intimé afin qu'il mette en œuvre, dans les plus brefs délais, une expertise rhumatologique et psychiatrique ainsi qu'une enquête économique ménagère, puis rende une nouvelle décision. 11. Vu ce qui précède, le recours est partiellement admis. La décision querellée sera annulée et le dossier renvoyé à l'autorité administrative afin qu'elle procède conformément aux considérants. 12. La procédure de recours en matière de contestations portant sur l'octroi ou le refus de prestations de l'assurance-invalidité étant soumise à des frais de justice (art. 69 al. 1bis LAI), au vu du sort du recours, il y a lieu de condamner l'intimé au paiement d'un émolument de CHF 200.-.</w:t>
      </w:r>
    </w:p>
    <w:p>
      <w:r>
        <w:t>A/3431/2016 - 20/20 -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