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ATAS/877/2014 vom 23. Juli 2014</w:t>
      </w:r>
    </w:p>
    <w:p>
      <w:r>
        <w:t>GE Cour de justice, 2014-07-23, FR</w:t>
      </w:r>
    </w:p>
    <w:p>
      <w:r>
        <w:rPr>
          <w:b/>
        </w:rPr>
        <w:t xml:space="preserve">Quelle: </w:t>
      </w:r>
      <w:r>
        <w:t>https://mcp.opencaselaw.ch/entscheid/ge_gerichte_ATAS_877_2014</w:t>
      </w:r>
    </w:p>
    <w:p>
      <w:r>
        <w:t>FR: GE_GERICHTE ATAS/877/2014 du 23 juillet 2014</w:t>
      </w:r>
    </w:p>
    <w:p>
      <w:r>
        <w:t>IT: GE_GERICHTE ATAS/877/2014 del 23 luglio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A/549/2014 - 3/5 -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 délai et la forme prévus par la loi, le recours est recevable (art. 56 et 60 LPGA ; art. 89B de la loi sur la procédure administrative, du 12 septembre 1985 –LPA, RS/GE E 5 10).</w:t>
      </w:r>
    </w:p>
    <w:p>
      <w:r>
        <w:rPr>
          <w:b/>
        </w:rPr>
        <w:t>E. 3</w:t>
      </w:r>
    </w:p>
    <w:p>
      <w:r>
        <w:t>L’objet du litige consiste à déterminer si c’est à bon droit que l’intimée à soumis à cotisations le montant de CHF 5'000.- versé en 2010 par la recourante à l’administrateur.</w:t>
      </w:r>
    </w:p>
    <w:p>
      <w:r>
        <w:rPr>
          <w:b/>
        </w:rPr>
        <w:t>E. 4</w:t>
      </w:r>
    </w:p>
    <w:p>
      <w:r>
        <w:t>a)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b) Selon l'art. 7 let. h RAVS,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(RCC 1983 p. 22 consid. 2; GREBER/DUC/SCARTAZZINI, Commentaire des articles 1 à 16 de la loi fédérale sur l'assurance-vieillesse et survivants [LAVS], note 40 ad art. 5). C'est le cas même si les indemnités sont proportionnelles à l'activité et à l'état des affaires (RCC 1952 p. 272).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p. 114; RCC 1953 p. 442). Lorsque le président et le secrétaire d'un conseil d'administration d'une société soutiennent que les honoraires qu'ils ont reçus pour accomplir leur mandat de gestion constituent le revenu d'une activité indépendante, il leur incombe - dans le cadre de leur obligation de collaborer à l'instruction (ATF 125 V 193 consid. 2 p. 195) - de préciser ce que recouvraient leurs activités respectives d'administrateurs et de consultants. Pareille obligation concerne aussi la personne morale, d'autant plus</w:t>
      </w:r>
    </w:p>
    <w:p>
      <w:r>
        <w:t>A/549/2014 - 4/5 - qu'elle doit établir que les honoraires versés à ses administrateurs ne font pas partie du salaire déterminant (cf. consid. 5.1 supra).</w:t>
      </w:r>
    </w:p>
    <w:p>
      <w:r>
        <w:rPr>
          <w:b/>
        </w:rPr>
        <w:t>E. 5</w:t>
      </w:r>
    </w:p>
    <w:p>
      <w:r>
        <w:t>En l’espèce, la recourante soutient que honoraires perçus par son administrateur, à la tête d’une entreprise individuelle, figurent dans son compte de pertes et profits et qu’il paie ses cotisations AVS au titre d’indépendant. La chambre de céans relève cependant que la recourant ne prétend pas que lesdits honoraires n’auraient aucun lien avec le mandat de membre du conseil d’administration ou qu’ils seraient payés pour l’exécution d’une tâche que l’administrateur aurait assumée même sans appartenir au conseil d’administration. Partant, les honoraires sont présumés versés à l’administrateur en sa qualité d’organe de la société, de sorte qu’ils sont soumis à cotisations AVS en tant que salaire déterminant.</w:t>
      </w:r>
    </w:p>
    <w:p>
      <w:r>
        <w:rPr>
          <w:b/>
        </w:rPr>
        <w:t>E. 6</w:t>
      </w:r>
    </w:p>
    <w:p>
      <w:r>
        <w:t>Mal fondé, le recours doit être rejeté.</w:t>
      </w:r>
    </w:p>
    <w:p>
      <w:r>
        <w:rPr>
          <w:b/>
        </w:rPr>
        <w:t>E. 7</w:t>
      </w:r>
    </w:p>
    <w:p>
      <w:r>
        <w:t>La procédure est gratuite (art. 61 let. a LPGA).</w:t>
      </w:r>
    </w:p>
    <w:p>
      <w:r>
        <w:t>A/549/2014 - 5/5 -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