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ATAS/877/2009 vom 3. Juli 2009</w:t>
      </w:r>
    </w:p>
    <w:p>
      <w:r>
        <w:t>GE Cour de justice, 2009-07-03, FR</w:t>
      </w:r>
    </w:p>
    <w:p>
      <w:r>
        <w:rPr>
          <w:b/>
        </w:rPr>
        <w:t xml:space="preserve">Quelle: </w:t>
      </w:r>
      <w:r>
        <w:t>https://mcp.opencaselaw.ch/entscheid/ge_gerichte_ATAS_877_2009</w:t>
      </w:r>
    </w:p>
    <w:p>
      <w:r>
        <w:t>FR: GE_GERICHTE ATAS/877/2009 du 3 juillet 2009</w:t>
      </w:r>
    </w:p>
    <w:p>
      <w:r>
        <w:t>IT: GE_GERICHTE ATAS/877/2009 del 3 luglio 2009</w:t>
      </w:r>
    </w:p>
    <w:p>
      <w:pPr>
        <w:pStyle w:val="Heading2"/>
      </w:pPr>
      <w:r>
        <w:t>Erwägungen</w:t>
      </w:r>
    </w:p>
    <w:p>
      <w:r>
        <w:rPr>
          <w:b/>
        </w:rPr>
        <w:t>E. 30</w:t>
      </w:r>
    </w:p>
    <w:p>
      <w:r>
        <w:t>Entendu en audience d’enquêtes du 17 octobre 2008, le Dr. T_______, médecin généraliste, relève en particulier « sur question de l’OCAI, actuellement les trois diagnostics (jambes sans repos, dépression et stress post-traumatique) dont d’actualité. Au sujet de l’évolution, l’état de Mme C__________ est stationnaire : elle est toujours en incapacité totale de travail. »</w:t>
      </w:r>
    </w:p>
    <w:p>
      <w:r>
        <w:rPr>
          <w:b/>
        </w:rPr>
        <w:t>E. 31</w:t>
      </w:r>
    </w:p>
    <w:p>
      <w:r>
        <w:t>Entendu également en audience d’enquêtes du 17 octobre 2008, le Dr. R________, psychiatre, relève que « il y a une corrélation entre le syndrome des jambes sans repos, d’une part, et l’anxiété et dépression, d’autre part. Le fait que Mme C__________ ne dorme pas normalement depuis de longues années en raison du syndrome des jambes sans repos amplifie grandement sa dépression et son anxiété et cela a un impact sur la capacité de travail en raison de la fatigabilité. En termes de fonctionnalité, l’état de dépression moyenne peut devenir sévère en raison du syndrome des jambes sans repos. »</w:t>
      </w:r>
    </w:p>
    <w:p>
      <w:r>
        <w:rPr>
          <w:b/>
        </w:rPr>
        <w:t>E. 32</w:t>
      </w:r>
    </w:p>
    <w:p>
      <w:r>
        <w:t>A l’issue de cette audience, le SMR s’est prononcé sur le contenu de ces auditions ainsi que sur les pièces complémentaires produites par la recourante au sujet du syndrome des jambes sans repos. En effet, par courrier du 10 novembre 2008, l’OCAI a transmis au Tribunal de céans un rapport du SMR qui précise notamment : « il est indéniable que les mouvements périodiques des jambes au cours du sommeil sont responsables d’une désorganisation et d’une fragmentation du sommeil, comme le relèvent les nombreuses publications sur le sujet, dont celles annexées dans ces documents. En revanche, il y est bien précisé : « les mouvements périodiques au cours du sommeil…. entraînent un sommeil de qualité insuffisante, et donc parfois une somnolence au cours de la journée ». C’est précisément le test de maintien de l’éveil qui permet d’objectiver les conséquences éventuelles de cette pathologie au cours de la journée, qui se manifesteraient alors par une somnolence. Ce test, pratiqué chez l’assurée, a permis d’exclure une hypersomnolence pathologique. On ne peut donc pas imputer à ces mouvements périodiques des jambes, ni à ces troubles du sommeil, une somnolence diurne responsable d’une diminution de la capacité de travail. Quant à la fatigue et à la fatigabilité, il s’agit-là de symptômes qui ne justifient pas en eux-mêmes une incapacité de travail de longue durée, s’ils ne sont pas corrélés avec une cohorte de symptômes faisant partie d’une entité clinique, et ne revêtent pas une sévérité particulière. Ces points ont été discutés dans les deux examens SMR psychiatriques. »</w:t>
      </w:r>
    </w:p>
    <w:p>
      <w:r>
        <w:t>- 7/12-</w:t>
      </w:r>
    </w:p>
    <w:p>
      <w:r>
        <w:t>A/2026/2008</w:t>
      </w:r>
    </w:p>
    <w:p>
      <w:r>
        <w:rPr>
          <w:b/>
        </w:rPr>
        <w:t>E. 33</w:t>
      </w:r>
    </w:p>
    <w:p>
      <w:r>
        <w:t>Commentant les témoignages des médecins traitants, l’OCAI relève d’une part que le Dr. T_______ atteste toujours une incapacité de travail totale et l’attribue aux trois diagnostics de syndrome des jambes sans repos, dépression et stress post- traumatique et d’autre part que le Dr. R________ ne confirme pas le diagnostic d’état de stress post-traumatique.</w:t>
      </w:r>
    </w:p>
    <w:p>
      <w:r>
        <w:rPr>
          <w:b/>
        </w:rPr>
        <w:t>E. 34</w:t>
      </w:r>
    </w:p>
    <w:p>
      <w:r>
        <w:t>Si le syndrome des jambes lourdes a été évoqué, comme le relève l’OCAI dans sa réponse au recours du 7 juillet 2008, ce syndrome n’a, en revanche, pas fait l’objet d’investigations particulières sur ses répercussions sur la capacité de travail de la recourante.</w:t>
      </w:r>
    </w:p>
    <w:p>
      <w:r>
        <w:rPr>
          <w:b/>
        </w:rPr>
        <w:t>E. 35</w:t>
      </w:r>
    </w:p>
    <w:p>
      <w:r>
        <w:t>Poursuivant l’instruction du dossier, le Tribunal de céans ordonne une expertise bi- disciplinaire sur les plans neurologique et psychiatrique.</w:t>
      </w:r>
    </w:p>
    <w:p>
      <w:r>
        <w:t>EN DROIT</w:t>
      </w:r>
    </w:p>
    <w:p>
      <w:r>
        <w:t>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 2. Interjeté dans les forme et délai prévus par la loi, le recours est recevable (art. 56 à 60 LPGA). 3. Est litigieuse la question de savoir si les troubles présentés par la recourante aussi bien somatiques que psychiatriques constituent une invalidité au sens de l’AI engendrant une incapacité totale de gain. 4. Est réputée invalidité l’incapacité de gain totale ou partielle qui est présumée permanente ou de longue durée (art. 8 al. 1 LPGA). L’invalidité (art. 8 LPGA) peut résulter d’une infirmité congénitale, d’une maladie ou d’un accident. (art. 4 al. 1 LAI). En l’occurrence, les avis sont totalement divergents au sujet de la question de l’invalidité de Madame C_______.</w:t>
      </w:r>
    </w:p>
    <w:p>
      <w:r>
        <w:t>- 8/12-</w:t>
      </w:r>
    </w:p>
    <w:p>
      <w:r>
        <w:t>A/2026/2008 5.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 6. En l'espèce, le Tribunal de céans constate que l’OCAI s’est limité à une expertise psychiatrique et non pas pluridisciplinaire en se bornant à mentionner que l’assurée</w:t>
      </w:r>
    </w:p>
    <w:p>
      <w:r>
        <w:t>- 9/12-</w:t>
      </w:r>
    </w:p>
    <w:p>
      <w:r>
        <w:t>A/2026/2008 présentait un syndrome de jambes sans repos, responsable d’un sommeil de mauvaise qualité, déstructuré, objectivé par polysomnographie et sans approfondir particulièrement l’éventuel impact de ce syndrome sur la capacité de travail. 7. De son côté, le Dr. T_______ a constaté que Madame C__________ était en incapacité de travail à 100% pour une durée indéterminée en raison d’un état dépressif de sévérité récurrent et un syndrome des jambes sans repos. Pour sa part, le Dr. R________ rappelle qu’en termes de fonctionnalité, l’état de dépression moyenne peut devenir sévère en raison du syndrome des jambes sans repos. 8. Les doutes émis par la recourante sur la valeur probante des conclusions des différents rapports médicaux, orientés essentiellement sur l’aspect psychiatrique de son état de santé sont justifiés. 9. Par conséquent, vu la jurisprudence susmentionnée, vu le doute résultant des avis médicaux divergents, il y a lieu d'ordonner une expertise pluridisciplinaire de la recourante. En application des articles 38 et suivants de la loi sur la procédure administrative (LPA), un délai de 10 jours a été accordé aux parties pour indiquer les questions particulières qu'elles souhaitent voir figurer dans la mission d'expertise, ainsi que pour se déterminer sur le nom des experts, à savoir le Dr. A_______, neurochirurgien, et le Dr B_______, spécialiste en psychiatrie et psychothérapie, comme expert. 10. Compte tenu du fait que le Dr. A_______ n’est pas neurologue mais neurochirurgien, la recourante a proposé de désigner la Dresse C_______, neurologue, en qualité d’expert. 11. Informé, l’OCAI n’a pas formulé d’objection au sujet du nom des experts et de la mission d’expertise. 12. La Dresse C_______ a ainsi reçu l’intégralité du dossier du Tribunal de céans et des pièces de la recourante et de l’OCAI. Toutefois, ce médecin pensait être chargée du volet psychiatrique de l’expertise et non pas du volet neurologique, et elle a indiqué qu’elle ne pratiquait plus suffisamment la neurologie pour être à même d’accepter la mission qui lui était confiée. 13. Le Tribunal de céans a alors proposé aux parties de désigner le Dr D_______, spécialiste FMH en neurologie, en qualité d’expert et leur a imparti un délai pour se déterminer. 14. Ni la recourante ni l’OCAI n’ont formulé d’objection.</w:t>
      </w:r>
    </w:p>
    <w:p>
      <w:r>
        <w:t>- 10/12-</w:t>
      </w:r>
    </w:p>
    <w:p>
      <w:r>
        <w:t>A/2026/2008</w:t>
      </w:r>
    </w:p>
    <w:p>
      <w:r>
        <w:t>***</w:t>
      </w:r>
    </w:p>
    <w:p>
      <w:r>
        <w:t>- 11/12-</w:t>
      </w:r>
    </w:p>
    <w:p>
      <w:r>
        <w:t>A/2026/2008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