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ATAS/876/2024 vom 31. Oktober 2024</w:t>
      </w:r>
    </w:p>
    <w:p>
      <w:r>
        <w:t>GE Cour de justice, 2024-10-31, FR</w:t>
      </w:r>
    </w:p>
    <w:p>
      <w:r>
        <w:rPr>
          <w:b/>
        </w:rPr>
        <w:t xml:space="preserve">Quelle: </w:t>
      </w:r>
      <w:r>
        <w:t>https://mcp.opencaselaw.ch/entscheid/ge_gerichte_ATAS_876_2024</w:t>
      </w:r>
    </w:p>
    <w:p>
      <w:r>
        <w:t>FR: GE_GERICHTE ATAS/876/2024 du 31 octobre 2024</w:t>
      </w:r>
    </w:p>
    <w:p>
      <w:r>
        <w:t>IT: GE_GERICHTE ATAS/876/2024 del 31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art. 62 al. 1 de la loi sur la procédure administrative du 12 septembre 1985 [LPA - E 5 10]). Interjeté dans la forme et le délai prévus par la loi, le recours est recevable.</w:t>
      </w:r>
    </w:p>
    <w:p>
      <w:r>
        <w:rPr>
          <w:b/>
        </w:rPr>
        <w:t>E. 2</w:t>
      </w:r>
    </w:p>
    <w:p>
      <w:r>
        <w:t>Le litige porte sur le droit éventuel de la recourante aux prestations de l’assurance- invalidité, sous forme de rente et/ou de mesures de réadaptation.</w:t>
      </w:r>
    </w:p>
    <w:p>
      <w:r>
        <w:t>A/3821/2023 - 7/15 -</w:t>
      </w:r>
    </w:p>
    <w:p>
      <w:r>
        <w:rPr>
          <w:b/>
        </w:rPr>
        <w:t>E. 3.1</w:t>
      </w:r>
    </w:p>
    <w:p>
      <w:r>
        <w:t>Le 1er janvier 2022, les modifications de la LAI du 19 juin 2020 (développement continu de l’AI ; RO 2021 705) et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la décision querellée concerne un premier octroi de rente dont le droit – s’il était reconnu – naîtrait après le 31 décembre 2021. En conséquence, les dispositions légales applicables seront citées, ci-après, dans leur nouvelle teneur.</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(cf.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(art. 29 al. 1 LAI).</w:t>
      </w:r>
    </w:p>
    <w:p>
      <w:r>
        <w:t>A/3821/2023 - 8/15 -</w:t>
      </w:r>
    </w:p>
    <w:p>
      <w:r>
        <w:rPr>
          <w:b/>
        </w:rPr>
        <w:t>E. 4.3.1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 du Tribunal fédéral 9C_237/2016 du 24 août 2016 consid. 2.2 et les références).</w:t>
      </w:r>
    </w:p>
    <w:p>
      <w:r>
        <w:rPr>
          <w:b/>
        </w:rPr>
        <w:t>E. 4.3.2</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4.3.3</w:t>
      </w:r>
    </w:p>
    <w:p>
      <w:r>
        <w:t>On précisera également que le « marché du travail équilibré », auquel se réfèrent les art. 7 et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w:t>
      </w:r>
    </w:p>
    <w:p>
      <w:r>
        <w:t>A/3821/2023 - 9/15 - du travail structuré de telle sorte qu’il offre un éventail d’emplois diversifiés (ATF 110 V 273 consid. 4b). Il s’ensuit que pour l’évaluation de l’invalidité, il n’y a pas lieu d’examiner si un invalide peut être placé eu égard aux conditions concrètes du marché du travail, mais uniquement de se demander s’il pourrait encore exploiter économiquement sa capacité de travail résiduelle lorsque les places de travail disponibles correspondent à l’offre de main-d’œuvre (VSI 1998 p. 293 consid. 3b; Michel VALTERIO, Droit de l’assurance-vieillesse et survivants [AVS] et de l’assurance-invalidité [AI], Commentaire thématique, p. 563-564 n. 2112). La complémentarité entre l’AI et l’assurance-chômage ne signifie pas que l’assuré qui est écarté du marché du travail puisse dans tous les cas se prévaloir soit de son invalidité soit de son statut de chômeur. Ainsi l’assuré présentant une atteinte grave à la santé peut fort bien ne pas être suffisamment invalide pour pouvoir prétendre à une rente d’invalidité de l’AI tout en étant apte au placement (ATF 109 V 25 consid. 3d). Étant donné que ces deux assurances ne font pas dépendre le droit aux prestations des mêmes conditions – l’invalidité pour l’une, l’aptitude au placement pour l’autre –, il est possible qu’en présence d’une seule et même atteinte à la santé, l’AI admette une capacité de travail entière alors que l’assurance-chômage nie toute aptitude au placement. Il se peut également qu’il existe un droit aux prestations tant de la part de l’AI que de celle de l’assurance-chômage. Une absence de droit non seulement vis-à-vis de la première, mais aussi de la seconde assurance est également envisageable (arrêt du Tribunal fédéral des assurances C 282/05 du 3 mars 2006 du 3 mars 2006 consid. 2.3; Ulrich MEYER/ Marco REICHMUTH, Bundesgesetz über die Invalidenversicherung [IVG], in Hans-Ulrich STAUFFER/ Basile CARDINAUX [éditeurs], Rechtsprechung des Bundesgerichts zum Sozialversicherungsrecht, 4ème éd., 2022, p. 346-347, n. 136 ad art. 28a LAI).</w:t>
      </w:r>
    </w:p>
    <w:p>
      <w:r>
        <w:rPr>
          <w:b/>
        </w:rPr>
        <w:t>E. 5.1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w:t>
      </w:r>
    </w:p>
    <w:p>
      <w:r>
        <w:t>A/3821/2023 - 10/15 -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5.3.1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5.3.2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5.3.3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w:t>
      </w:r>
    </w:p>
    <w:p>
      <w:r>
        <w:t>A/3821/2023 - 11/15 - 351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6</w:t>
      </w:r>
    </w:p>
    <w:p>
      <w:r>
        <w:t>Selon la jurisprudence, tant dans les cas de tableaux cliniques objectivables que non objectivables, le droit aux prestations de l’assurance-invalidité présuppose de la même manière une appréciation médicale compréhensible des effets de l’atteinte à la santé sur la capacité de travail et de gain. Des difficultés à clarifier des faits ou à fournir des preuves peuvent nécessiter la prise en compte – au besoin en se procurant des informations étrangères à l’anamnèse – d’autres domaines de la vie comme des comportements durant les loisirs ou des engagements familiaux. Si les effets d’une symptomatologie douloureuse objectivable ou non objectivable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(arrêt du Tribunal fédéral 9C_27/2015 du 26 août 2015 consid. 6.1).</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w:t>
      </w:r>
    </w:p>
    <w:p>
      <w:r>
        <w:t>A/3821/2023 - 12/15 -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w:t>
      </w:r>
    </w:p>
    <w:p>
      <w:r>
        <w:rPr>
          <w:b/>
        </w:rPr>
        <w:t>E. 8</w:t>
      </w:r>
    </w:p>
    <w:p>
      <w:r>
        <w:t>En l’espèce, la recourante conteste en premier lieu la valeur probante de l’expertise du Dr D______, à laquelle elle reproche d’être incomplète, insuffisamment motivée et de ne pas tenir compte de ses limitations fonctionnelles. La recourante relève également que le Dr D______ n’est ni orthopédiste, ni spécialiste du pied et de la cheville, ni même chirurgien ou traumatologue. La Cour de céans a déjà eu l’occasion d’examiner la valeur probante de cette expertise dans le cadre du litige ayant opposé l’assurée à l’assureur perte de gain (cf. ATAS/119/2024 op. cit.). Dans cet arrêt, la Cour de céans s’est interrogée, à l’instar de la recourante, sur l’opportunité de la désignation d’un médecin du travail pour évaluer les répercussions sur la capacité de travail d’une fasciite plantaire – soit un trouble musculo-squelettique – qu’un rhumatologue, voire un chirurgien orthopédique, aurait vraisemblablement été mieux à même d’analyser. Cela étant, elle a rappelé que tout grief ayant trait au défaut de compétence d’un expert était d’ordre matériel et devait ainsi être examiné avec la décision sur le fond dans le cadre de l'appréciation des preuves (arrêt du Tribunal fédéral 8C_358/2022 du 12 avril 2023 consid. 4.2.4). La Cour de céans a ensuite constaté, s’agissant du contenu dudit rapport, que si, au plan formel, il contenait tous les éléments nécessaires selon la jurisprudence – soit, notamment, une anamnèse, un résumé du dossier et des diagnostics –, ses conclusions étaient insuffisamment motivées pour emporter la conviction. En particulier, on peine à comprendre sur quels éléments se fonde le Dr D______</w:t>
      </w:r>
    </w:p>
    <w:p>
      <w:r>
        <w:t>A/3821/2023 - 13/15 - pour qualifier la fasciite plantaire d’affection « au décours », faute d’explications sur ce point. Il n’indique pas non plus quelles observations concrètes lui permettent de retenir que les limitations fonctionnelles – dont il reconnaît implicitement la persistance à la date de son examen, puisqu’il confirme que l’incapacité de travail reste justifiée à ce moment-là – disparaitraient progressivement lors des mois suivants, ni les motifs qui le conduisent à qualifier l’évolution de favorable. L’absence de signes d’inconfort lors de l’entretien – durant lequel on peut raisonnablement supposer que la recourante était assise – n’est pas incompatible avec des douleurs et des difficultés à la mobilisation. S’agissant de l’évolution de la capacité de travail, les conclusions quant à une possible reprise deux mois après l’examen ne sont nullement motivées. Le Dr D______ se contente de souligner qu’une fasciite peut avoir une incidence durant plusieurs mois sur la capacité de travail dans le cas d’une activité exercée debout. Or, un pronostic fondé sur l’évolution usuellement observée d’une atteinte ne suffit pas à démontrer le rétablissement futur de la capacité de travail, à défaut d’éléments concrets dans ce sens. On peut ici se référer par analogie au principe prévalant en matière d’assurance-accidents, selon lequel la date à laquelle une atteinte accidentelle ne déploie plus d’effets ne peut être déterminée d'une manière abstraite et théorique en se référant au délai de guérison habituel d’une lésion, cela ne suffisant pas à établir au degré de la vraisemblance prépondérante l'extinction du lien de causalité en l’absence d'autres éléments objectifs dans le dossier médical (arrêts du Tribunal fédéral 8C_481/2019 du 7 mai 2020 consid. 3.4 et 8C_473/2017 du 21 février 2018 consid. 5). En l’espèce, il n’existe aucun autre élément permettant d’accréditer la thèse d’une guérison de l’atteinte deux mois plus tard. Au contraire, la scintigraphie réalisée en mai 2022 a confirmé la persistance de la fasciite plantaire, l’aponévropathie plantaire décrite dans le rapport d’examen étant un terme synonyme (cf. Aponévropathie plantaire : mise au point 2021 in Revue médicale suisse 17 [2021] p. 1314). Le Dr G______ a également rapporté, en juin 2022, des signes cliniques d’une telle atteinte. Les médecins des HUG ont eux aussi relaté une fasciite plantaire dans leur rapport de consultation du 23 septembre 2022. La Cour de céans, à défaut de motivation suffisante quant à l’exigibilité de la reprise d’une activité professionnelle à partir du 1er mai 2022 malgré la persistance de l’atteinte à l’origine de l’incapacité de travail, a donc nié au rapport du Dr D______ toute valeur probante sur ce point. Il est vrai que le Dr F______, en mai 2022, a malgré tout également conclu à une capacité de travail de 100% dans une activité adaptée telle qu’un travail administratif. Il s’est cependant prononcé du seul point de vue de l’atteinte aux membres inférieurs. Or, la Dre C______, en septembre 2022, a fait état d’une péjoration au niveau lombaire et a conclu, de ce fait, à une capacité de travail limitée à 50% dans une activité adaptée. On rappellera que ce même médecin, en</w:t>
      </w:r>
    </w:p>
    <w:p>
      <w:r>
        <w:t>A/3821/2023 - 14/15 - octobre 2021, indiquait que la scoliose et les crises cervico-dorsales et lombaires n’avaient jamais entraîné d’arrêts de travail prolongés. Tout indique donc que la situation s’était nettement péjorée une année plus tard. Le SMR a certes fait siennes les nouvelles limitations évoquées par la Dre C______, mais a conclu pour sa part à une pleine capacité de travail, sans argumenter aucunement les raisons pour lesquelles il s’écartait du taux retenu par ce médecin. La position de l’une comme de l’autre n’étant guère motivées, la Cour de céans ne dispose pas d’éléments suffisants pour se prononcer sur la capacité de l’assurée à exercer une activité adaptée compte tenu de l’ensemble des atteintes dont elle souffre. Lorsque le juge constate qu'une expertise est nécessaire, il doit en principe la mettre en œuvre lui-même. Un renvoi à l'administration reste cependant possible lorsqu'il est justifié par l'examen d'un point qui n'a pas du tout été investigué (ATF 137 V 210 consid. 4.4.1.3 et 4.4.1.4). En l’espèce, au vu des carences de l’expertise du Dr D______ et du fait que les éventuelles répercussions des atteintes lombaires n’ont pas du tout été analysées par l’intimé, un renvoi de la cause pour instruction complémentaire s’impose. A cet égard, l’intimé pourra s’enquérir auprès de l’assureur perte de gain du résultat des mesures d’instruction mises en œuvre par celui-ci suite à l’arrêt de la Cour l’opposant à l’assurée. Il appartiendra ensuite à l’intimé de rendre une nouvelle décision. Le recours est partiellement admis en ce sens. La recourante n’étant pas représentée, elle n’a pas droit à des dépens (art. 61 let. g LPGA).</w:t>
      </w:r>
    </w:p>
    <w:p>
      <w:r>
        <w:t>***</w:t>
      </w:r>
    </w:p>
    <w:p>
      <w:r>
        <w:t>A/3821/2023 - 15/15 -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