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ATAS/876/2021 vom 30. August 2021</w:t>
      </w:r>
    </w:p>
    <w:p>
      <w:r>
        <w:t>GE Cour de justice, 2021-08-30, FR</w:t>
      </w:r>
    </w:p>
    <w:p>
      <w:r>
        <w:rPr>
          <w:b/>
        </w:rPr>
        <w:t xml:space="preserve">Quelle: </w:t>
      </w:r>
      <w:r>
        <w:t>https://mcp.opencaselaw.ch/entscheid/ge_gerichte_ATAS_876_2021</w:t>
      </w:r>
    </w:p>
    <w:p>
      <w:r>
        <w:t>FR: GE_GERICHTE ATAS/876/2021 du 30 août 2021</w:t>
      </w:r>
    </w:p>
    <w:p>
      <w:r>
        <w:t>IT: GE_GERICHTE ATAS/876/2021 del 30 agosto 2021</w:t>
      </w:r>
    </w:p>
    <w:p>
      <w:pPr>
        <w:pStyle w:val="Heading2"/>
      </w:pPr>
      <w:r>
        <w:t>Erwägungen</w:t>
      </w:r>
    </w:p>
    <w:p>
      <w:r>
        <w:rPr>
          <w:b/>
        </w:rPr>
        <w:t>E. 1</w:t>
      </w:r>
    </w:p>
    <w:p>
      <w:r>
        <w:t>Il convient au préalable d’examiner d’office la compétence de la chambre de céans pour connaître du présent contentieux, étant relevé que, dans le canton de Genève, la procédure en matière de prévoyance professionnelle est régie par la loi sur la procédure administrative du 12 septembre 1985 (LPA – E 5 10) et plus particulièrement par les art. 89A et ss (art. 11 al. 2 et 89A LPA).</w:t>
      </w:r>
    </w:p>
    <w:p>
      <w:r>
        <w:rPr>
          <w:b/>
        </w:rPr>
        <w:t>E. 2</w:t>
      </w:r>
    </w:p>
    <w:p>
      <w:r>
        <w:t>a. Selon l'art. 134 al. 1 let. b de la loi sur l'organisation judiciaire du 26 septembre 2010 (LOJ - E 2 05), la chambre de céans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142a du Code civil [CC - RS 210]). b. La compétence des autorités visées par l'art. 73 LPP est doublement définie. Elle l'est, tout d'abord, quant à la nature du litige : il faut que la contestation entre les parties porte sur des questions spécifiques de la prévoyance professionnelle, au sens étroit ou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125 V 168 consid. 2; ATF 122 V 323 consid. 2b et les références). Cette compétence est également limitée par le fait que la loi désigne de manière non équivoque les parties pouvant être liées à une contestation, à savoir les institutions de prévoyance, les employeurs et les ayants droit (ATF 128 V 254 consid. 2a). Il s’agit des institutions de prévoyance enregistrées qui participent au régime de l’assurance obligatoire (art. 48 al. 1 LPP), avec la possibilité d’étendre la prévoyance au-delà des prestations minimales (institutions de prévoyance dites « enveloppantes »; art. 49 al. 2 LPP) ; ces institutions doivent revêtir la forme d’une fondation ou d’une société coopérative, ou être une institution de droit public</w:t>
      </w:r>
    </w:p>
    <w:p>
      <w:r>
        <w:t>A/4060/2020 - 4/8 - (art. 48 al. 2 LPP et art. 331 al. 1 CO; arrêt du Tribunal fédéral des assurances B.95/02 du 5 juin 2003 consid. 3.2). c. Selon la jurisprudence du Tribunal fédéral, si l’employeur n’a pas annoncé le salarié à l’institution de prévoyance, et n’a donc pas versé de contribution pour ce dernier, l’assuré est en droit d’exiger de l’institution de prévoyance qu’elle lui verse la prestation de sortie qui aurait été acquise grâce à ses contributions. L’assuré peut agir envers l’institution de prévoyance en paiement de la prestation de sortie, et le cas échéant contre l’employeur en paiement des contributions (ATF 135 V 23 consid. 3; ATF 129 V 320). La question de savoir si l'ancien employeur possède contre son ex-employé une créance fondée et exigible au titre de cotisations non prélevées sur son salaire relève des contestations au sens de l'art. 73 LPP et des autorités judiciaires prévues par cette disposition (ATF 142 V 118 consid. 1.1 et les références). d. Selon l’art. 73 al. 3 LPP, le for est au siège ou domicile suisse du défendeur ou au lieu de l'exploitation dans laquelle l'assuré a été engagé.</w:t>
      </w:r>
    </w:p>
    <w:p>
      <w:r>
        <w:rPr>
          <w:b/>
        </w:rPr>
        <w:t>E. 3</w:t>
      </w:r>
    </w:p>
    <w:p>
      <w:r>
        <w:t>En l’espèce, PERSONALFÜRSORGESTIFTUNG DER PROCTER &amp; GAMBLE- GESELLSCHAFTEN IN DER SCHWEIZ, constituée sous la forme d’une fondation, et B______, qui, selon l’intéressé, serait son ancien employeur durant la période litigieuse du 1er novembre 2011 au 31 août 2017, ont leur siège dans le canton de Genève, où l’intéressé travaillait. La demande en paiement du 1er décembre 2020 porte sur le versement d’une prestation de sortie et le paiement de cotisations. La demande reconventionnelle du 12 mars 2021 quant à elle oppose B______ à l’intéressé à propos d’une créance relative aux cotisations non déduites du salaire de celui-ci. Par conséquent, la chambre de céans est compétente pour connaître de ces litiges tant ratione loci que ratione materiae. Par ailleurs, l’ouverture de l’action prévue à l’art. 73 al. 1 LPP n’est soumise, comme telle, à l’observation d’aucun délai (ATAS/677/2021 du 24 juin 2021 consid. 2a et la référence). La demande en paiement et la demande reconventionnelle respectent en outre la forme prévue à l'art. 89B LPA. Elles sont en conséquence recevables.</w:t>
      </w:r>
    </w:p>
    <w:p>
      <w:r>
        <w:rPr>
          <w:b/>
        </w:rPr>
        <w:t>E. 4</w:t>
      </w:r>
    </w:p>
    <w:p>
      <w:r>
        <w:t>Reste à déterminer si la chambre de céans est également compétente pour déterminer si Me CARRON n’a pas la capacité de postuler dans le cadre de la présente procédure en raison d’un conflit d’intérêts.</w:t>
      </w:r>
    </w:p>
    <w:p>
      <w:r>
        <w:rPr>
          <w:b/>
        </w:rPr>
        <w:t>E. 5</w:t>
      </w:r>
    </w:p>
    <w:p>
      <w:r>
        <w:t>L'art. 12 de la loi fédérale sur la libre circulation des avocats du 23 juin 2000 (loi sur les avocats, LLCA - RS 935.61) fait partie de la Section 3 intitulée « Règles professionnelles et surveillance disciplinaire ». Parmi les « Règles professionnelles » que doit respecter l'avocat, figure celle qui veut que celui-ci doit éviter tout conflit entre les intérêts de son client et ceux des personnes avec lesquelles il est en relation sur le plan professionnel ou privé (art. 12 let. c LLCA). L'obligation de renoncer à représenter un mandant en cas de conflit d'intérêts est</w:t>
      </w:r>
    </w:p>
    <w:p>
      <w:r>
        <w:t>A/4060/2020 - 5/8 - une règle cardinale de la profession d'avocat (ATF 138 II 162 consid. 2.4 et la référence). Celui qui, en violation des obligations énoncées à l'art. 12 LLCA, accepte ou poursuit la défense d'intérêts contradictoires doit se voir dénier par l'autorité la capacité de postuler. L'interdiction de plaider est, en effet, la conséquence logique du constat de l'existence d'un tel conflit. La loi sur les avocats ne désignant pas l'autorité compétente habilitée à empêcher de plaider l'avocat confronté à un conflit d'intérêt, les cantons sont compétents pour la désigner. Ainsi, l'injonction consistant en l'interdiction de représenter une personne dans une procédure peut être prononcée, selon les cantons, par l'autorité de surveillance des avocats ou par l'autorité judiciaire saisie de la cause. Le législateur genevois a confié les compétences dévolues à l'autorité de surveillance par la loi sur les avocats à la commission du barreau (art. 14 de la loi genevoise sur la profession d'avocat du 26 avril 2002 [LPAv - E 6 10] ; ATF 138 II 162 consid. 2.5.1 et les références).</w:t>
      </w:r>
    </w:p>
    <w:p>
      <w:r>
        <w:rPr>
          <w:b/>
        </w:rPr>
        <w:t>E. 6</w:t>
      </w:r>
    </w:p>
    <w:p>
      <w:r>
        <w:t>Selon la doctrine, c’est le juge qui conduit l’affaire qui est compétent (François BOHNET/Vincent MARTENET, Droit de la profession d'avocat, 2009, p. 596 n. 1465), à moins que le droit de procédure ou la législation cantonale relative à la profession d’avocat ne règle ce problème (ATA/283/2017 du 14 mars 2017 consid. 9). Dans le canton de Genève, la seule norme cantonale qui entre en considération est l’art. 43 LPAv. Selon cette disposition, la commission du barreau statue sur tout manquement aux devoirs professionnels. Si un tel manquement est constaté, elle peut, suivant la gravité du cas, prononcer les sanctions énoncées à l’art. 17 LLCA. La prescription est régie par l’art. 19 LLCA (al. 1). Le président de la commission peut classer les dénonciations qui lui apparaissent manifestement mal fondées, en informant la commission à sa plus proche séance. Si le dénonciateur, dûment avisé, persiste, la commission plénière statue (al. 2). La commission du barreau peut prononcer des injonctions propres à imposer à l'avocat le respect des règles professionnelles. En cas d'urgence, le bureau de la commission est compétent pour prononcer des mesures provisionnelles; l'avocat faisant l'objet d'une injonction prononcée par le bureau peut demander que la mesure soit soumise à la commission plénière. Dans ce dernier cas, les membres du bureau participent également à la délibération (al. 3).</w:t>
      </w:r>
    </w:p>
    <w:p>
      <w:r>
        <w:rPr>
          <w:b/>
        </w:rPr>
        <w:t>E. 7</w:t>
      </w:r>
    </w:p>
    <w:p>
      <w:r>
        <w:t>Dans l’arrêt précité du 14 mars 2017 (consid. 11a), la chambre administrative de la Cour de justice a rappelé que jusqu’à l’annulation, le 20 février 2012, de son arrêt ATA/383/2011 du 21 juin 2011 par le Tribunal fédéral (ATF 138 II 162 précité), la gestion du conflit d’intérêts était traitée sous un angle disciplinaire dans le canton de Genève. La commission du barreau avait la compétence, fondée sur l’art. 43 LPAv, de statuer sur celle-ci dans le cadre d’une procédure dans laquelle seul l’avocat était partie. Le Tribunal fédéral a mis fin à cette pratique en définissant que, d’une part, l’interdiction de postuler ne relève pas du droit disciplinaire (consid. 2.5.1) mais du contrôle du pouvoir de postuler de l’avocat, ce qui induit</w:t>
      </w:r>
    </w:p>
    <w:p>
      <w:r>
        <w:t>A/4060/2020 - 6/8 - que l’intéressé est partie à la procédure et a la qualité pour recourir (consid. 2.5.2). Il n’a pas remis en question la compétence de décision de la commission dans le cas d’espèce mais il a relevé qu’en raison de l’entrée en vigueur du code de procédure pénale suisse du 5 octobre 2007 (CPP - RS 312.0), notamment des art. 61 et 62 CPP, en procédure pénale, la compétence de prononcer une interdiction de plaider pourrait ne plus revenir à l’autorité de surveillance (consid. 2.5.1). La chambre administrative a également mis en évidence que, selon deux auteurs de doctrine, MM. Stéphane GRODECKI et Nicolas JEANDIN, la question de l’interdiction de postuler d’un avocat en raison d’un conflit d’intérêts ne relève pas de la réglementation sur la profession de l’avocat, mais constitue une question procédurale à régler en fonction des dispositions applicables. Dans le domaine tant pénal que civil, depuis le 1er janvier 2011, la question doit être réglée par application des dispositions du CPP et du code de procédure civile du 19 décembre 2008 (CPC - RS 272) en vertu de la primauté du droit fédéral garantie par l’art. 49 de la Constitution fédérale de la Confédération suisse du 18 avril 1999 (Cst. - RS 101). S’agissant de la compétence, tant le CPP que le CPC prévoient que le rôle de statuer sur la capacité de postuler d’un avocat dans une procédure civile ou pénale revient à la direction de la procédure, à teneur tant de l’art. 59 CPC que de l’art. 62 CPP. Depuis l’entrée en vigueur de ces lois de procédure fédérale, l’art. 43 al. 3 LPAv ne constitue plus une base légale fondant une compétence de la commission pour statuer sur des questions de conflit d’intérêts dans des procédures relevant de ces deux domaines du droit, celle-ci restant cependant compétente pour intervenir dans le cadre du contentieux administratif, mais surtout au titre d’autorité disciplinaire pour sanctionner les avocats qui auraient enfreint le principe de l’art. 12 al. 1 let. c LLCA (GRODECKI / JEANDIN, Approche critique de l’interdiction de postuler chez l’avocat aux prises avec un conflit d’intérêts, publié in SJ 2015 II p. 127 -133 ; ATA/283/2017 consid. 12). La chambre administrative, en se référant par ailleurs à la jurisprudence fédérale rendue depuis lors, a admis que lorsqu’une procédure pénale est ouverte, c’est la direction de la procédure au sens de l’art. 61 CPP qui est compétente pour déterminer s’il y a lieu ou non d’interdire à un avocat de postuler en raison d’un conflit d’intérêts, eu égard au rôle de contrôle de la légalité de la procédure qui lui est dévolu par l’art. 62 al. 1 CPP. Il n’y a dès lors plus place, lorsqu’une procédure pénale est ouverte, pour une intervention de la commission en application de l’art. 43 al. 3 LPAv (ATA/283/2017 consid. 13 à 17 et les références). En revanche, en citant les mêmes auteurs de doctrine, la chambre administrative a relevé que la commission reste compétente pour prononcer des injonctions en vertu de l’art. 43 al. 3 LPav dans les procédures judiciaires non soumises au CPC ou au CPP (ATA/283/2017 consid. 17 et la référence).</w:t>
      </w:r>
    </w:p>
    <w:p>
      <w:r>
        <w:rPr>
          <w:b/>
        </w:rPr>
        <w:t>E. 8</w:t>
      </w:r>
    </w:p>
    <w:p>
      <w:r>
        <w:t>a. En l’occurrence, dès lors que le présent litige est soumis à la procédure administrative cantonale, il appartient à la commission du barreau de déterminer, en</w:t>
      </w:r>
    </w:p>
    <w:p>
      <w:r>
        <w:t>A/4060/2020 - 7/8 - vertu de l’art. 43 al. 3 LPAv, s’il y a lieu ou non d’interdire à Me CARRON de postuler en raison d’un conflit d’intérêts. b. Selon l'art. 11 al. 3 LPA, si l'autorité décline sa compétence, elle transmet d'office l'affaire à l'autorité compétente et en avise les parties. En conséquence, la cause doit être transmise à la commission du barreau pour connaître de la question du conflit d’intérêts, étant précisé que, à ce stade, les pièces du dossier sont tenues à disposition au greffe de la chambre de céans.</w:t>
      </w:r>
    </w:p>
    <w:p>
      <w:r>
        <w:rPr>
          <w:b/>
        </w:rPr>
        <w:t>E. 9</w:t>
      </w:r>
    </w:p>
    <w:p>
      <w:r>
        <w:t>La suite de la procédure est réservée.</w:t>
      </w:r>
    </w:p>
    <w:p>
      <w:r>
        <w:t>A/4060/2020 - 8/8 -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