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ATAS/876/2009 vom 30. Juni 2009</w:t>
      </w:r>
    </w:p>
    <w:p>
      <w:r>
        <w:t>GE Cour de justice, 2009-06-30, FR</w:t>
      </w:r>
    </w:p>
    <w:p>
      <w:r>
        <w:rPr>
          <w:b/>
        </w:rPr>
        <w:t xml:space="preserve">Quelle: </w:t>
      </w:r>
      <w:r>
        <w:t>https://mcp.opencaselaw.ch/entscheid/ge_gerichte_ATAS_876_2009</w:t>
      </w:r>
    </w:p>
    <w:p>
      <w:r>
        <w:t>FR: GE_GERICHTE ATAS/876/2009 du 30 juin 2009</w:t>
      </w:r>
    </w:p>
    <w:p>
      <w:r>
        <w:t>IT: GE_GERICHTE ATAS/876/2009 del 30 giugno 2009</w:t>
      </w:r>
    </w:p>
    <w:p>
      <w:pPr>
        <w:pStyle w:val="Heading2"/>
      </w:pPr>
      <w:r>
        <w:t>Erwägungen</w:t>
      </w:r>
    </w:p>
    <w:p>
      <w:r>
        <w:rPr>
          <w:b/>
        </w:rPr>
        <w:t>E. 10</w:t>
      </w:r>
    </w:p>
    <w:p>
      <w:r>
        <w:t>avril 2007.</w:t>
      </w:r>
    </w:p>
    <w:p>
      <w:r>
        <w:rPr>
          <w:b/>
        </w:rPr>
        <w:t>E. 11</w:t>
      </w:r>
    </w:p>
    <w:p>
      <w:r>
        <w:t>Dans ses écritures du 14 mai 2007, la recourante a persisté dans les termes et conclusions de son recours.</w:t>
      </w:r>
    </w:p>
    <w:p>
      <w:r>
        <w:rPr>
          <w:b/>
        </w:rPr>
        <w:t>E. 12</w:t>
      </w:r>
    </w:p>
    <w:p>
      <w:r>
        <w:t>Dans ses écritures du 31 mai 2007, l’OCAI a maintenu ses conclusions tendant au rejet du recours.</w:t>
      </w:r>
    </w:p>
    <w:p>
      <w:r>
        <w:rPr>
          <w:b/>
        </w:rPr>
        <w:t>E. 13</w:t>
      </w:r>
    </w:p>
    <w:p>
      <w:r>
        <w:t>Lors de l’audience d’enquêtes du 28 janvier 2008, le TCAS a entendu le Dr B________ et le Dr C________, médecin traitant de la recourante ayant repris le cabinet du Dr A________. Le Dr B________ a confirmé son rapport du 3 novembre 2005. Il a expliqué bien connaitre la recourante, suivie dans son service depuis 2004. L’état de santé de la recourante a subi une évolution défavorable, après deux interventions chirurgicales du dos qui n’avaient pas donné l’effet escompté et n’avaient pas résolu la problématique douloureuse et fonctionnelle. La recourante souffre de deux types de douleurs, d’une part des douleurs nociceptives, de type mécanique, et d’autre part neuropathiques. Il s’agit de douleurs mixtes dont le traitement est complexe. Le traitement n’ayant pas apporté d’amélioration, il a été décidé d’implanter une pompe à la recourante, laquelle permet de diffuser en continu un mélange de morphine et de clonidine. Toutefois, ce traitement, qualifié de rare et extrême, n’apporte pas l’amélioration souhaitée et, de l’avis du Dr B________, la recourante est loin de pouvoir exercer une activité prolongée, que ce soit sur le plan professionnel ou domestique, sans qu’il puisse se prononcer plus</w:t>
      </w:r>
    </w:p>
    <w:p>
      <w:r>
        <w:t>- 6/11-</w:t>
      </w:r>
    </w:p>
    <w:p>
      <w:r>
        <w:t>Erreur ! Source du renvoi introuvable. spécifiquement sur la question de la capacité de travail raisonnablement exigible. Un état dépressif a été constaté chez la recourante, comme c’est souvent le cas dans ce type de pathologie, état demeuré relativement stable depuis 2004. La capacité de travail est demeurée inchangée depuis 2004. Quant au Dr C________, il a indiqué suivre la recourante depuis octobre 2006, date à laquelle il a repris le cabinet du Dr A________. Sur le plan subjectif, ledit praticien n’a constaté aucune évolution sur le plan des douleurs, nonobstant l’implantation d’une pompe début 2006. Le dossier médical de la recourante ne fait ressortir aucune amélioration de son état de santé au fil du temps, mais au contraire plutôt une tendance à la péjoration, essentiellement sur le plan psychologique. Le Dr C________ a constaté un état dépressif réactionnel, qui s’est plutôt aggravé en marge de la procédure de révision de rente de l’assurance-invalidité, avec une augmentation des antidépresseurs. Il ressort du dossier constitué par le Dr A________ que, sur le plan des douleurs, les deux interventions chirurgicales n’ont pas apporté d’amélioration. Il n’y a pas eu non plus d’amélioration de la capacité de travail. Le Dr C________ estime qu’il ne lui appartient pas de se prononcer sur la question de la capacité de travail, mais dit avoir constaté chez la recourante des douleurs très invalidantes rendant l’exercice d’une activité professionnelle très difficile. Le traitement médicamenteux de la recourante consiste dans la prise d’antidouleurs, d’anxiolytiques et d’antidépresseurs. La prise d’anxiolytiques et d’antidouleurs de type morphinique peut entraver la capacité de travail ainsi que la capacité à exercer les tâches domestiques, du fait d’une diminution de la capacité de concentration et de phénomènes de somnolence. Il peut en outre exister un effet de synergie entre les différents médicaments. Les doses d’anxiolytique prescrites à la recourante sont importantes.</w:t>
      </w:r>
    </w:p>
    <w:p>
      <w:r>
        <w:rPr>
          <w:b/>
        </w:rPr>
        <w:t>E. 14</w:t>
      </w:r>
    </w:p>
    <w:p>
      <w:r>
        <w:t>Par ordonnance du 8 avril 2008, le Tribunal de céans a ordonné une expertise bidisciplinaire, qu’elle a confiée au Dr. D________, Médecin adjoint au Service de psychiatrie adulte des HUG et au Dr. E________, FMH rhumatologie et médecine interne, après avoir entendu les parties au sujet du projet de mission d’expertise et les avoir invitées à faire valoir d’éventuels motifs de récusation.</w:t>
      </w:r>
    </w:p>
    <w:p>
      <w:r>
        <w:rPr>
          <w:b/>
        </w:rPr>
        <w:t>E. 15</w:t>
      </w:r>
    </w:p>
    <w:p>
      <w:r>
        <w:t>Le Dr. E________ a rendu son rapport en date du 20 février 2009. Après avoir retracé et commenté, dans le détail, les pièces médicales du dossier, procédé à une anamnèse complète du cas et à l’examen clinique de la recourante, l’expert retient les diagnostics de lombalgie hyperalgique persistante sur récidive d’une instabilité vertébrale après spondylodèse L4-S1 par vis et greffe autologue et dissectomie L5-S1 pour hernie discale avec syndrome radiculaire déficitaire, d’état migraineux, de syndrome des jambes sans repos (restless legs syndrom), d’hypothyroïdie substituée, de hallux valgus gauche et de séquelles d’une surdité unilatérale à tympan normal gauche.</w:t>
      </w:r>
    </w:p>
    <w:p>
      <w:r>
        <w:t>- 7/11-</w:t>
      </w:r>
    </w:p>
    <w:p>
      <w:r>
        <w:t>Erreur ! Source du renvoi introuvable. Le Dr E________ retient que qu’il est évident que la limitation fonctionnelle résultant de l’association de toutes ces pathologies ne permet pas d’activité professionnelle sous quelque forme que ce soit. Le syndrome douloureux chronique précédemment évoqué n’est pas au premier plan et n’entre pas dans l’évaluation de l’incapacité de travail. Les plaintes de la recourante sont consécutives à une instabilité vertébrale secondaire à la spondylodèse. Ces plaintes n’apparaissent pas amplifiées par rapport aux constatations cliniques objectives et il n’y a aucun signe de non- organicité. Les traitements médicaux entrepris n’ont pas amélioré l’état de la recourante, qui souffre d’affections qui ne guériront pas. Il n’existe aucune capacité de travail raisonnablement exigible. L’invalidité est totale, ce qui aurait pu être pris en compte dès le début de l’affection, l’état de la recourante s’étant lentement péjoré en passant par des périodes encore plus dramatiques, notamment en 1996- 1997. Les divergences entre l’avis de l’expert et celui du COMAI ne sont pas fondamentalement importantes, hormis celle qui concerne l’appréciation de la pathologie lombaire – diagnostic d’instabilité lombaire qui n’avait pas été retenu par le COMAI car il n’était pas en possession de l’IRM lombaire du 3 septembre 2005 – qui suffit à elle seule pour justifier une invalidité permanente de 100%.</w:t>
      </w:r>
    </w:p>
    <w:p>
      <w:r>
        <w:rPr>
          <w:b/>
        </w:rPr>
        <w:t>E. 16</w:t>
      </w:r>
    </w:p>
    <w:p>
      <w:r>
        <w:t>Le Dr D________ a rendu son rapport le 23 février 2009. Après avoir procédé à une anamnèse complète du cas et au status psychiatrique de la recourante, l’expert retient le diagnostic psychiatrique d’épisode dépressif moyen. Dans la mesure où l’expert ne retient pas le diagnostique de syndrome douloureux somatoforme persistant, il ne peut considérer l’état dépressif comme « une manifestation réactive d’accompagnement » à ce trouble. Il s’agit cependant d’un trouble psychiatrique déclenché et largement entretenu par un état douloureux chronique. Son degré de sévérité lui confère valeur de maladie, ce d’autant qu’il a tendance à s’aggraver nonobstant le suivi régulier d’un traitement adéquat. Aucune activité professionnelle n’est exigible de la recourante, considérant l’ensemble de ses problèmes médicaux. L’expert s’écarte des conclusions de l’expertise du COMAI, en ce sens que, selon lui, les plaintes rapportées et les constatations cliniques consignées dans ce rapport ne permettent guère d’étayer le diagnostic retenu de dysthymie, mais suggèrent bien plutôt que la recourante avait déjà connu auparavant une dépression réactionnelle, sans doute en rémission partielle au moment de l’évaluation. Quoi qu’il en soit, son état clinique s’est nettement péjoré et elle présente actuellement un état dépressif de gravité moyenne.</w:t>
      </w:r>
    </w:p>
    <w:p>
      <w:r>
        <w:rPr>
          <w:b/>
        </w:rPr>
        <w:t>E. 17</w:t>
      </w:r>
    </w:p>
    <w:p>
      <w:r>
        <w:t>Dans ses observations du 26 mars 2009, l’OCAI produit un avis du SMR Suisse romande du 20 mars 2009, lequel déclare se rallier aux conclusions du Dr E________.</w:t>
      </w:r>
    </w:p>
    <w:p>
      <w:r>
        <w:t>- 8/11-</w:t>
      </w:r>
    </w:p>
    <w:p>
      <w:r>
        <w:t>Erreur ! Source du renvoi introuvable.</w:t>
      </w:r>
    </w:p>
    <w:p>
      <w:r>
        <w:rPr>
          <w:b/>
        </w:rPr>
        <w:t>E. 18</w:t>
      </w:r>
    </w:p>
    <w:p>
      <w:r>
        <w:t>Dans ses observations du 6 avril 2009, la recourante persiste dans les conclusions de son recours. EN DROIT 1. Conformément à l’art. 56 V al. 1 let. a ch. 2 LOJ, le Tribunal cantonal des assurances sociales connaît en instance unique des contestations prévues à l’article 56 LPGA qui sont relatives à la loi sur l’assurance-invalidité du 19 juin 1959.</w:t>
      </w:r>
    </w:p>
    <w:p>
      <w:r>
        <w:t>Sa compétence pour juger du cas d’espèce est ainsi établie. 2. Interjeté dans les forme et délai prévus par la loi, le recours est recevable (cf. 56 à 60 LPGA). 3. Selon l’art. 17 LPGA,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 voir également ATF 112 V 373 consid. 2b et 390 consid. 1b).</w:t>
      </w:r>
    </w:p>
    <w:p>
      <w:r>
        <w:t>D’après la jurisprudence,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RAI, en relation avec l’art. 41 LAI, applicable en l’espèce tel qu’avant son abrogation le 1er janvier 2003 par suite de l’entrée en vigueur de la LPGA ; cf. ATF 127 V 467 consid. 1 et 121 V 366 consid. 1b).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4. La rente peut être révisée non seulement en cas de modification sensible de l’état de santé, mais aussi lorsque celui-ci est resté en soi le même, mais que ses</w:t>
      </w:r>
    </w:p>
    <w:p>
      <w:r>
        <w:t>- 9/11-</w:t>
      </w:r>
    </w:p>
    <w:p>
      <w:r>
        <w:t>Erreur ! Source du renvoi introuvable. conséquences sur la capacité de gain ont subi un changement important (ATF 113 V 275 consid. 1a et les arrêts cités ; voir également ATF 120 V 131 consid. 3b, 119 V 478 consid. 1b/aa). En revanche, il ne suffit pas qu’un nouveau rapport médical donne une appréciation différente de faits déjà connus au moment de la précédente procédure (ATF 127 V 353 et réf.). Dans ce dernier arrêt, le TFA a rappelé que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(p. 358). 5. Si les conditions de l’art. 17 LPGA font défaut, la décision de rente peut être éventuellement modifiée d’après les règles applicables à la reconsidération de décisions administratives passées en force. Selon l’art. 53 LPGA, une décision formellement passée en force est soumise à révision si des faits nouveaux importants sont découverts subséquemment ou si de nouveaux moyens de preuve sont trouvés qui ne pouvaient pas être produits auparavant (al. 1). En outre, elle peut être reconsidérée lorsqu’elle est manifestement erronée pour autant que sa rectification revête une importance notable (al. 2). Le juge peut, le cas échéant, confirmer une décision de révision rendue à tort pour le motif substitué que la décision de rente initiale était sans nul doute erronée et que sa rectification revêt une importance notable (ATF 125 V 369 consid. 2 et les arrêts cités). 6.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ATFA du 30 novembre 2004, I 600/03, consid. 3.2). 7.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56 consid. 2 p.87). 8. En ce qui concerne la valeur probante d'un rapport médical, ce qui est déterminant c'est que les points litigieux aient fait l'objet d'une étude circonstanciée, que le rapport se fonde sur des examens complets, qu'il prenne également en considération</w:t>
      </w:r>
    </w:p>
    <w:p>
      <w:r>
        <w:t>- 10/11-</w:t>
      </w:r>
    </w:p>
    <w:p>
      <w:r>
        <w:t>Erreur ! Source du renvoi introuvable. les plaintes exprimées par la personne examinée, qu'il ait été établi en pleine connaissance de l'anamnèse, que la description du contexte médical et l'appréciation de la situation médicale soient claires et enfin que les conclusions de l'expert soient dûment motivés. Au demeurant, l'élément déterminant pour la valeur probante n'est ni l'origine du moyen de preuve ni de sa désignation comme rapport ou comme expertise, mais bel et bien son contenu (ATF 125 V 352 consid. 3a, 122 V 160 consid. 1c et les références). 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10. En l’espèce, il ressort très clairement des rapports d’expertise du Dr. D________ et du Dr. E________, qui répondent en tous points aux critères posés par la jurisprudence pour leur reconnaître pleine valeur probante, que l’état de santé et le degré d’invalidité de la recourante ne se sont nullement améliorés au point de justifier une révision à la baisse de son droit à la rente.</w:t>
      </w:r>
    </w:p>
    <w:p>
      <w:r>
        <w:t>Bien au contraire, les experts attestent d’une invalidité complète, de longue date. Sur la base de ces avis médicaux – qui exposent de manière très convaincante les raisons pour lesquelles les experts se sont écartés de l’avis du COMAI – qui emportent la conviction du Tribunal de céans, il y lieu d’admettre le recours, qui se révèle entièrement bien fondé. A noter que l’intimé, qui se rallie aux conclusions du Dr. E________, l’admet implicitement. 11. La recourante, qui obtient gain de cause, a droit à une indemnité à titre de dépens. Compte tenu de l’importance de la procédure, il se justifie d’arrêter celle-ci à 4'000.- fr.</w:t>
      </w:r>
    </w:p>
    <w:p>
      <w:r>
        <w:t>* * *</w:t>
      </w:r>
    </w:p>
    <w:p>
      <w:r>
        <w:t>- 11/11-</w:t>
      </w:r>
    </w:p>
    <w:p>
      <w:r>
        <w:t>Erreur ! Source du renvoi introuvable.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