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ATAS/875/2020 vom 15. Oktober 2020</w:t>
      </w:r>
    </w:p>
    <w:p>
      <w:r>
        <w:t>GE Cour de justice, 2020-10-15, FR</w:t>
      </w:r>
    </w:p>
    <w:p>
      <w:r>
        <w:rPr>
          <w:b/>
        </w:rPr>
        <w:t xml:space="preserve">Quelle: </w:t>
      </w:r>
      <w:r>
        <w:t>https://mcp.opencaselaw.ch/entscheid/ge_gerichte_ATAS_875_2020</w:t>
      </w:r>
    </w:p>
    <w:p>
      <w:r>
        <w:t>FR: GE_GERICHTE ATAS/875/2020 du 15 octobre 2020</w:t>
      </w:r>
    </w:p>
    <w:p>
      <w:r>
        <w:t>IT: GE_GERICHTE ATAS/875/2020 del 15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w:t>
      </w:r>
    </w:p>
    <w:p>
      <w:r>
        <w:t>A/406/2020 - 5/9 - Sur le plan matériel, sont en principe applicables les règles de droit en vigueur au moment où les faits juridiquement déterminants se sont produits (ATF 129 V 1 consid. 1; ATF 127 V 467 consid. 1 et les références).</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5</w:t>
      </w:r>
    </w:p>
    <w:p>
      <w:r>
        <w:t>Le litige porte sur le degré d’invalidité de la recourante, plus particulièrement sur l’évaluation de sa capacité de travail.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w:t>
      </w:r>
    </w:p>
    <w:p>
      <w:r>
        <w:t>A/406/2020 - 6/9 -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A/406/2020 - 7/9 -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l’intimé a admis qu’une instruction complémentaire se justifiait d’un point de vue psychique, la situation médicale n’étant pas stabilisée sur ce plan lorsque la décision litigieuse a été rendue. Il est établi et non contesté par les parties qu’il conviendrait ainsi de mettre sur pied une expertise psychiatrique pour évaluer les limitations fonctionnelles, la capacité de travail résiduelle de l’assurée et l’exigibilité d’un traitement de sa part, les antidépresseurs ayant été stoppés. L’intimé conteste en revanche la nécessité d’une expertise rhumatologique, alléguant s’être rangé à l’avis émis par le médecin traitant quant à la capacité de travail de l’assurée d’un point de vue somatique.</w:t>
      </w:r>
    </w:p>
    <w:p>
      <w:r>
        <w:t>A/406/2020 - 8/9 - Certes, des avis émanant du médecin traitant ont été versés au dossier s’agissant des atteintes somatiques de la recourante. Force est cependant de constater que les derniers rapports remontent à plusieurs années, ainsi que le fait remarquer l’intéressée. S’il est vrai qu’en l’état, aucun élément n’a été versé au dossier permettant de suspecter une aggravation de ce point de vue, on se trouve en présence d’atteintes dégénératives, c’est-à-dire susceptibles, par définition, d’évoluer dans le temps. Dans ces circonstances et dans la mesure où il sera quoi qu’il en soit procédé à une instruction complémentaire médicale, il serait regrettable de limiter celle-ci au seul volet psychique, d’autant que, comme le fait remarquer la recourante, les atteintes physiques et psychiques sont susceptibles de s’influencer réciproquement. Une évaluation pluridisciplinaire n’apparaît ainsi pas inutile.</w:t>
      </w:r>
    </w:p>
    <w:p>
      <w:r>
        <w:rPr>
          <w:b/>
        </w:rPr>
        <w:t>E. 11</w:t>
      </w:r>
    </w:p>
    <w:p>
      <w:r>
        <w:t>Au vu de ce qui précède, le recours est partiellement admis et la décision du</w:t>
      </w:r>
    </w:p>
    <w:p>
      <w:r>
        <w:rPr>
          <w:b/>
        </w:rPr>
        <w:t>E. 16</w:t>
      </w:r>
    </w:p>
    <w:p>
      <w:r>
        <w:t>décembre 2019 annulée, la cause étant renvoyée à l’intimé pour instruction complémentaire sous la forme d’une expertise bidisciplinaire, rhumatologique et psychiatrique. Avant de rendre une nouvelle décision, l’intimé se prononcera également sur les griefs soulevés d’ores et déjà par la recourante quant au calcul du revenu avant invalidité. La recourante obtenant partiellement gain de cause, une indemnité de CHF 2'000.- lui est accordée à titre de participation à ses frais et dépens (art. 61 let. g LPGA; art. 6 du règlement sur les frais, émoluments et indemnités en matière administrative du 30 juillet 1986 [RFPA - E 5 10.03]).</w:t>
      </w:r>
    </w:p>
    <w:p>
      <w:r>
        <w:t>A/406/2020 - 9/9 -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