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ATAS/875/2018 vom 3. Oktober 2018</w:t>
      </w:r>
    </w:p>
    <w:p>
      <w:r>
        <w:t>GE Cour de justice, 2018-10-03, FR</w:t>
      </w:r>
    </w:p>
    <w:p>
      <w:r>
        <w:rPr>
          <w:b/>
        </w:rPr>
        <w:t xml:space="preserve">Quelle: </w:t>
      </w:r>
      <w:r>
        <w:t>https://mcp.opencaselaw.ch/entscheid/ge_gerichte_ATAS_875_2018</w:t>
      </w:r>
    </w:p>
    <w:p>
      <w:r>
        <w:t>FR: GE_GERICHTE ATAS/875/2018 du 3 octobre 2018</w:t>
      </w:r>
    </w:p>
    <w:p>
      <w:r>
        <w:t>IT: GE_GERICHTE ATAS/875/2018 del 3 ottobre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LAF. Sa compétence pour juger du cas d’espèce est ainsi établie.</w:t>
      </w:r>
    </w:p>
    <w:p>
      <w:r>
        <w:rPr>
          <w:b/>
        </w:rPr>
        <w:t>E. 2</w:t>
      </w:r>
    </w:p>
    <w:p>
      <w:r>
        <w:t>À teneur de l'art. 1 LAFam, les dispositions de la LPGA s’appliquent aux allocations familiales, à moins que la loi n'y déroge expressément. S’agissant du droit cantonal, la LAF et son règlement d’exécution (RAF - RSG J 5 10.01) sont applicables au cas d’espèce. L'art. 2B LAF prévoit que les prestations sont régies par la LAFam, la LPGA et la LAVS dans la mesure où la LAFam ou la LAF y renvoie.</w:t>
      </w:r>
    </w:p>
    <w:p>
      <w:r>
        <w:rPr>
          <w:b/>
        </w:rPr>
        <w:t>E. 3</w:t>
      </w:r>
    </w:p>
    <w:p>
      <w:r>
        <w:t>Interjeté dans les formes et délais légaux, le recours est recevable (art. 56 ss LPGA et 38A al. 1 LAF).</w:t>
      </w:r>
    </w:p>
    <w:p>
      <w:r>
        <w:rPr>
          <w:b/>
        </w:rPr>
        <w:t>E. 4</w:t>
      </w:r>
    </w:p>
    <w:p>
      <w:r>
        <w:t>Le litige porte sur le bien-fondé de la demande de restitution des allocations familiales versées par l'intimée entre septembre 2013 et décembre 2014.</w:t>
      </w:r>
    </w:p>
    <w:p>
      <w:r>
        <w:rPr>
          <w:b/>
        </w:rPr>
        <w:t>E. 5</w:t>
      </w:r>
    </w:p>
    <w:p>
      <w:r>
        <w:t>a. Selon l’art. 3 al. 1 LAFam, l’allocation familiale comprend l’allocation pour enfant (let. a) et l’allocation de formation professionnelle, qui est octroyée à partir</w:t>
      </w:r>
    </w:p>
    <w:p>
      <w:r>
        <w:t>A/1139/2017 - 11/14 - du mois qui suit celui au cours duquel l’enfant atteint l’âge de 16 ans jusqu’à la fin de sa formation, mais au plus tard jusqu’à l’âge de 25 ans (let. b). b. Selon l’art. 19 al. 1 LAFam, les personnes obligatoirement assurées à la loi fédérale sur l’assurance-vieillesse et survivants du 20 décembre 1946 (LAVS - RS 831.10), en tant que personnes sans activité lucrative sont considérées comme sans activité lucrative. Elles ont droit aux allocations familiales prévues aux art. 3 et 5 LAFam. L’art. 7 al. 2 LAFam n’est pas applicable. Ces personnes relèvent du canton dans lequel elles sont domiciliées. Selon l'art. 1a al. 1 de sont assurés conformément à cette loi les personnes physiques domiciliées en Suisse (let. a), les personnes physiques qui exercent en Suisse une activité lucrative (let. b), les ressortissants suisses qui travaillent à l'étranger (aux conditions prévues au ch. 1 à 3 suivants) (let. c). Aux termes de l'art. 4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phr. 1). L’art. 7 de l'ordonnance du 31 octobre 2007 sur les allocations familiales, (OAFam - RS 836.21) prévoit que pour les enfants ayant leur domicile à l’étranger, les allocations familiales ne sont versées que si une convention internationale le prévoit (al. 1). Selon l'art. 67 du Règlement (CE) n°883/2004 du Parlement européen et du Conseil du 29 avril 2004 portant sur la coordination des systèmes de sécurité sociale (RS 0.831.109.268.1 - ci-après le Règlement), une personne a droit aux prestations familiales conformément à la législation de l'État membre compétent, y compris pour les membres de sa famille qui résident dans un autre État membre, comme si ceux-ci résidaient dans le premier État membre. Toutefois, le titulaire d'une pension a droit aux prestations familiales conformément à la législation de l'État membre compétent pour sa pension.</w:t>
      </w:r>
    </w:p>
    <w:p>
      <w:r>
        <w:rPr>
          <w:b/>
        </w:rPr>
        <w:t>E. 6</w:t>
      </w:r>
    </w:p>
    <w:p>
      <w:r>
        <w:t>En l'espèce, la première question qui se pose est de déterminer si l'intimée pouvait revoir par ses décisions des 20 juin 2016 et 27 février 2017, sa décision du 21 décembre 2015, entrée en force, par laquelle elle avait octroyé les allocations familiales au recourant pour la période de septembre 2013 au 31 décembre 2014 en retenant qu'il était domicilié à Genève.</w:t>
      </w:r>
    </w:p>
    <w:p>
      <w:r>
        <w:rPr>
          <w:b/>
        </w:rPr>
        <w:t>E. 7</w:t>
      </w:r>
    </w:p>
    <w:p>
      <w:r>
        <w:t>a. Aux termes de l'art. 25 al. 1, phr. 1, LPGA, dont la teneur est reprise en droit cantonal genevois aux art. 12 al. 2 LAF et 4 RAF,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w:t>
      </w:r>
    </w:p>
    <w:p>
      <w:r>
        <w:t>A/1139/2017 - 12/14 - b.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42 consid. 2a ; 122 V 21 consid. 3a ; 122 V 368 consid. 3 et les arrêts cités).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c.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w:t>
      </w:r>
    </w:p>
    <w:p>
      <w:r>
        <w:t>A/1139/2017 - 13/14 - essentiels pour la décision (ATF 127 V 353 consid. 5b et les références; arrêt du Tribunal fédéral 9C_365/2015 du 6 janvier 2016 consid. 3.1).</w:t>
      </w:r>
    </w:p>
    <w:p>
      <w:r>
        <w:rPr>
          <w:b/>
        </w:rPr>
        <w:t>E. 8</w:t>
      </w:r>
    </w:p>
    <w:p>
      <w:r>
        <w:t>En l'occurrence, lorsque l'intimée a pris sa décision du 20 juin 2016, force est de constater qu'aucun élément de fait ne lui permettait de considérer que sa décision du 21 décembre 2015 était sans nul doute erronée. Elle a procédé à une nouvelle appréciation du domicile du recourant et il n'était pas exclu d'emblée que celui-ci ait pu conserver son domicile en Suisse. Il subsistait dès lors des doutes raisonnables sur le caractère erroné de la décision initiale, de sorte les conditions d'une reconsidération au sens de l'art. 53 al. 2 LPGA n'étaient pas réalisées. Les conditions d'une révision au sens de l'art. 53 al. 1 LPGA n'étaient pas non plus réalisées, car l'intimée n'a pas découvert, après avoir rendu sa décision du 21 décembre 2015, des faits nouveaux au sens de l'art. 53 al. 1 LPGA qui ne pouvaient être produits auparavant. Dans sa décision du 20 juin 2016, le SCAF n'en a d'ailleurs pas invoqués. Il a revu sa position à la suite de la réception d'un formulaire du 18 février 2016 qui attestait, certes à tort, que le recourant était encore employé à Genève – mais pas d'un domicile de celui-ci en Espagne –, et sur un courrier que lui avait adressé le recourant le 4 mars 2016, qui ne contenait aucun élément de fait nouveau relatif à son domicile. Il en résulte que la CAFNA ne pouvait pas remettre en cause par ses décisions des 20 juin 2016 et 27 février 2017, sa décision du 21 décembre 2015, qui octroyait les allocations familiales à l'intéressé pour la période courant de septembre 2013 à décembre 2014.</w:t>
      </w:r>
    </w:p>
    <w:p>
      <w:r>
        <w:rPr>
          <w:b/>
        </w:rPr>
        <w:t>E. 9</w:t>
      </w:r>
    </w:p>
    <w:p>
      <w:r>
        <w:t>Fondé, le recours sera admis et la décision sur opposition du 27 février 2017 annulée.</w:t>
      </w:r>
    </w:p>
    <w:p>
      <w:r>
        <w:rPr>
          <w:b/>
        </w:rPr>
        <w:t>E. 10</w:t>
      </w:r>
    </w:p>
    <w:p>
      <w:r>
        <w:t>La cause sera renvoyée à l'intimée pour qu'elle statue sur le droit aux allocations familiales du recourant dès juin 2016, conformément à son engagement à l'audience du 24 janvier 2018, vu la demande en ce sens du recourant du 3 mars 2018.</w:t>
      </w:r>
    </w:p>
    <w:p>
      <w:r>
        <w:rPr>
          <w:b/>
        </w:rPr>
        <w:t>E. 11</w:t>
      </w:r>
    </w:p>
    <w:p>
      <w:r>
        <w:t>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p. 446; 115 Ia 12 consid. 5 p. 21; 110 V 72 consid. 7 p. 81; 135 V 473 consid. 3.3 p. 473; arrêt du Tribunal fédéral 9C_62/2015 du 20 novembre 2015 consid. 6.2). En l'espèce, il se justifie, au vu du mémoire de recours, d'octroyer des dépens au recourant, quand bien même il n'était pas représenté, lesquels seront fixés à CHF 400.-.</w:t>
      </w:r>
    </w:p>
    <w:p>
      <w:r>
        <w:rPr>
          <w:b/>
        </w:rPr>
        <w:t>E. 12</w:t>
      </w:r>
    </w:p>
    <w:p>
      <w:r>
        <w:t>Pour le surplus, la procédure est gratuite (art. 89H al. 4 LPA).</w:t>
      </w:r>
    </w:p>
    <w:p>
      <w:r>
        <w:t>A/1139/2017 - 14/14 -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