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ATAS/874/2022 vom 4. Oktober 2022</w:t>
      </w:r>
    </w:p>
    <w:p>
      <w:r>
        <w:t>GE Cour de justice, 2022-10-04, FR</w:t>
      </w:r>
    </w:p>
    <w:p>
      <w:r>
        <w:rPr>
          <w:b/>
        </w:rPr>
        <w:t xml:space="preserve">Quelle: </w:t>
      </w:r>
      <w:r>
        <w:t>https://mcp.opencaselaw.ch/entscheid/ge_gerichte_ATAS_874_2022</w:t>
      </w:r>
    </w:p>
    <w:p>
      <w:r>
        <w:t>FR: GE_GERICHTE ATAS/874/2022 du 4 octobre 2022</w:t>
      </w:r>
    </w:p>
    <w:p>
      <w:r>
        <w:t>IT: GE_GERICHTE ATAS/874/2022 del 4 ottobre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l’acte de recours est recevable (art. 56 ss LPGA et 62 LPA).</w:t>
      </w:r>
    </w:p>
    <w:p>
      <w:r>
        <w:rPr>
          <w:b/>
        </w:rPr>
        <w:t>E. 2</w:t>
      </w:r>
    </w:p>
    <w:p>
      <w:r>
        <w:t>Le litige porte sur le bien-fondé de la sanction de seize jours infligée au recourant pour recherches d’emploi insuffisantes du point de vue quantitatif au mois de décembre 2021.</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w:t>
      </w:r>
    </w:p>
    <w:p>
      <w:r>
        <w:rPr>
          <w:b/>
        </w:rPr>
        <w:t>E. 3.2</w:t>
      </w:r>
    </w:p>
    <w:p>
      <w:r>
        <w:t>;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 4.</w:t>
      </w:r>
    </w:p>
    <w:p>
      <w:r>
        <w:t>4.1 Dans la décision entreprise, le recourant a été sanctionné pour n’avoir fait que huit recherches d’emploi au lieu des dix requises pour le mois de décembre 2021. 4.2 Il a tantôt allégué ne pas avoir eu de place pour inscrire d’autres recherches sur son formulaire de décembre et ne pas avoir su où s’en procurer un autre, tantôt ne pas avoir la possibilité de faire d’autres recherches entre le 1er et le 24 décembre 2021 parce qu’il avait un emploi qui lui procurait un gain intermédiaire et au-delà du 24 décembre 2021 en raison des fêtes de fin d’année. 4.3 Force est tout d’abord de constater que le recourant était tenu de faire dix recherches d’emploi par mois et qu’il n’en a fait que huit en décembre 2021. Le fait qu’il n’aurait plus eu de place sur sa feuille de recherches et n’aurait pas su où en trouver d’autre ne suffit pas à l’exonérer de son obligation de rechercher un emploi. Remplissant ses preuves de recherches à la main, le recourant aurait pu en ajouter en bas de la page ou annexer à son envoi une feuille supplémentaire qu’il aurait fait tamponner à d’éventuels employeurs et compléter lui-même en se fondant sur la feuille existante. Il n’a en outre pas chercher à contacter son conseiller à ce sujet alors qu’il en avait la possibilité, notamment par courriel. Quant à la période où il travaillait pour DHL, le recourant n’était pas employé à plein temps, de sorte qu’il disposait de temps en marge de son activité de livreur exercée à raison de 4 heures au maximum par jour pour faire deux recherches de travail complémentaire, contrairement au cas cité au consid. 3.3.</w:t>
      </w:r>
    </w:p>
    <w:p>
      <w:r>
        <w:t>A/933/2022 - 8/9 - Il en va de même des jours entre le 24 et le 31 décembre 2021, les fêtes de fin d’année n’empêchant pas le recourant de faire deux démarches spontanées de plus. Compte tenu de ce qui précède, l’intimé était fondé à prononcer une sanction. 5. S’agissant de la quotité de la sanction, l’on relèvera que l’intimé s’en est tenu au barème du SECO qui prévoit une sanction de dix à dix-neuf jours pour la troisième fois où un nombre insuffisant de recherches est reproché à un assuré. Le recourant ayant été sanctionné à quatre reprises pour recherches insuffisantes d'emploi avant la sanction de seize jours, l’on ne saurait reprocher à l’intimé d’avoir prononcé une sanction supérieure à celle prononcée dans le cas d’un assuré qui ne s’est vu infliger que trois sanctions au préalable. La sanction de seize jours reste néanmoins dans le barème prévu pour les fautes légères à moyennes. Dans les conditions du cas d’espèce, une sanction de seize jours apparaît adéquate et proportionnée. La décision querellée doit être confirmée. Le recours, infondé, sera rejeté. La procédure est gratuite.</w:t>
      </w:r>
    </w:p>
    <w:p>
      <w:r>
        <w:t>***</w:t>
      </w:r>
    </w:p>
    <w:p>
      <w:r>
        <w:t>A/933/2022 - 9/9 - PAR CES MOTIFS, LA CHAMBRE DES ASSURANCES SOCIALES : Statuant À la forme :</w:t>
      </w:r>
    </w:p>
    <w:p>
      <w:r>
        <w:rPr>
          <w:b/>
        </w:rPr>
        <w:t>E. 3.3</w:t>
      </w:r>
    </w:p>
    <w:p>
      <w:r>
        <w:t>; 126 V 360 consid. 5b ; 125 V 195 consid. 2). Il n'existe pas, en droit des assurances sociales, un principe selon lequel l'administration ou le juge devrait statuer, dans le doute, en faveur de l'assuré (ATF 126 V 322 consid. 5a).</w:t>
      </w:r>
    </w:p>
    <w:p>
      <w:r>
        <w:rPr>
          <w:b/>
        </w:rPr>
        <w:t>E. 3.4</w:t>
      </w:r>
    </w:p>
    <w:p>
      <w:r>
        <w:t>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rPr>
          <w:b/>
        </w:rPr>
        <w:t>E. 3.5</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w:t>
      </w:r>
    </w:p>
    <w:p>
      <w:r>
        <w:rPr>
          <w:b/>
        </w:rPr>
        <w:t>E. 3.6</w:t>
      </w:r>
    </w:p>
    <w:p>
      <w:r>
        <w:t>Les motifs de suspension précités peuvent donner lieu à une sanction non seulement en cas de faute intentionnelle, mais aussi en cas de négligence légère. D’une manière générale, un comportement simplement évitable justifie une sanction (RUBIN, op. cit., ad. art. 30 no 15).</w:t>
      </w:r>
    </w:p>
    <w:p>
      <w:r>
        <w:rPr>
          <w:b/>
        </w:rPr>
        <w:t>E. 3.7</w:t>
      </w:r>
    </w:p>
    <w:p>
      <w:r>
        <w:t>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w:t>
      </w:r>
    </w:p>
    <w:p>
      <w:r>
        <w:t>A/933/2022 - 6/9 -</w:t>
      </w:r>
    </w:p>
    <w:p>
      <w:r>
        <w:rPr>
          <w:b/>
        </w:rPr>
        <w:t>E. 3.8</w:t>
      </w:r>
    </w:p>
    <w:p>
      <w:r>
        <w:t>Selon l’art. 45 al. 3 OACI, la suspension est de 1 à 15 jours en cas de faute légère, de 16 à 30 jours en cas de faute de gravité moyenne et de 31 à 60 jours en cas de faute grave.</w:t>
      </w:r>
    </w:p>
    <w:p>
      <w:r>
        <w:rPr>
          <w:b/>
        </w:rPr>
        <w:t>E. 3.9</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w:t>
      </w:r>
    </w:p>
    <w:p>
      <w:r>
        <w:rPr>
          <w:b/>
        </w:rPr>
        <w:t>E. 3.10</w:t>
      </w:r>
    </w:p>
    <w:p>
      <w:r>
        <w:t>En tant qu'autorité de surveillance, le Secrétariat d'État à l'économie (ci- après : SECO) a adopté un barème (indicatif) à l'intention des organes d'exécution (Bulletin LACI/IC). Le Bulletin LACI/IC – marché du travail / assurance- chômage du SECO, janvier 2019, prévoit une suspension de l’indemnité de 3 à 4 jours en cas de recherche insuffisante d'emploi, durant la période de contrôle, pour la première fois, de cinq à neuf jours pour la deuxième fois et de dix à dix- neuf jours pour la troisième fois, la faute étant considérée légère les deux premières fois et légère à moyenne pour la troisième fois (Bulletin LACI/IC n° D79 1C).</w:t>
      </w:r>
    </w:p>
    <w:p>
      <w:r>
        <w:rPr>
          <w:b/>
        </w:rPr>
        <w:t>E. 3.11</w:t>
      </w:r>
    </w:p>
    <w:p>
      <w:r>
        <w:t>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soixante. Les actes commis durant la période d'observation et qui font l'objet de la suspension sont déterminants pour fixer la prolongation de la durée de suspension (art. 45 al. 1 OACI).</w:t>
      </w:r>
    </w:p>
    <w:p>
      <w:r>
        <w:rPr>
          <w:b/>
        </w:rPr>
        <w:t>E. 3.12</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3.13</w:t>
      </w:r>
    </w:p>
    <w:p>
      <w:r>
        <w:t>En ce qui concerne la preuve, le juge des assurances sociales fonde sa décision, sauf dispositions contraires de la loi, sur les faits qui, faute d'être établis</w:t>
      </w:r>
    </w:p>
    <w:p>
      <w:r>
        <w:t>A/933/2022 - 7/9 -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3.14</w:t>
      </w:r>
    </w:p>
    <w:p>
      <w:r>
        <w:t>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w:t>
      </w:r>
    </w:p>
    <w:p>
      <w:r>
        <w:rPr>
          <w:b/>
        </w:rPr>
        <w:t>E. 6</w:t>
      </w:r>
    </w:p>
    <w:p>
      <w:r>
        <w:t>avril 2008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