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ATAS/874/2017 vom 10. Oktober 2017</w:t>
      </w:r>
    </w:p>
    <w:p>
      <w:r>
        <w:t>GE Cour de justice, 2017-10-10, FR</w:t>
      </w:r>
    </w:p>
    <w:p>
      <w:r>
        <w:rPr>
          <w:b/>
        </w:rPr>
        <w:t xml:space="preserve">Quelle: </w:t>
      </w:r>
      <w:r>
        <w:t>https://mcp.opencaselaw.ch/entscheid/ge_gerichte_ATAS_874_2017</w:t>
      </w:r>
    </w:p>
    <w:p>
      <w:r>
        <w:t>FR: GE_GERICHTE ATAS/874/2017 du 10 octobre 2017</w:t>
      </w:r>
    </w:p>
    <w:p>
      <w:r>
        <w:t>IT: GE_GERICHTE ATAS/874/2017 del 10 ottobre 2017</w:t>
      </w:r>
    </w:p>
    <w:p>
      <w:pPr>
        <w:pStyle w:val="Heading2"/>
      </w:pPr>
      <w:r>
        <w:t>Erwägungen</w:t>
      </w:r>
    </w:p>
    <w:p>
      <w:r>
        <w:rPr>
          <w:b/>
        </w:rPr>
        <w:t>E. 1</w:t>
      </w:r>
    </w:p>
    <w:p>
      <w:r>
        <w:t>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69'393.40). b. Le recours a été interjeté en temps utile (art. 49 al. 3 LMC ; art. 62 al. 1 let. a de la loi sur la procédure administrative du 12 septembre 1985 - LPA - E 5 10), dans le respect des exigences légales de forme et de contenu (art. 64 s. LPA), par une personne ayant qualité pour recourir, étant touchée par la décision attaquée et ayant un intérêt digne de protection à son annulation ou sa modification (art. 60 al. 1 let. a et b LPA). c. Le recours est recevable.</w:t>
      </w:r>
    </w:p>
    <w:p>
      <w:r>
        <w:rPr>
          <w:b/>
        </w:rPr>
        <w:t>E. 2</w:t>
      </w:r>
    </w:p>
    <w:p>
      <w:r>
        <w:t>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 permettant alors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b. Les chômeurs domiciliés dans le canton de Genève ayant épuisé leur droit aux indemnités fédérales peuvent ainsi bénéficier d'une ARE s'ils retrouvent eux- 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w:t>
      </w:r>
    </w:p>
    <w:p>
      <w:r>
        <w:t>A/3104/2017 - 6/12 -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 du salaire mensuel brut pendant le premier quart de la mesure, puis est réduite de 20 % par quart suivant (art. 27 du règlement d'exécution de la loi en matière de chômage du 23 janvier 2008 - RMC - J 2 20.01). d. L’autorité compétente pour appliquer les dispositions régissant l’ARE est l’OCE (art. 3 al. 1 RMC).</w:t>
      </w:r>
    </w:p>
    <w:p>
      <w:r>
        <w:rPr>
          <w:b/>
        </w:rPr>
        <w:t>E. 3</w:t>
      </w:r>
    </w:p>
    <w:p>
      <w:r>
        <w:t>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Toutefois, selon l’art. 48B al. 2 LMC, l’autorité compétente peut renoncer à exiger la restitution sur demande de l’intéressé, lorsque celui-ci est de bonne foi et que la restitution le mettrait dans une situation financière difficile.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w:t>
      </w:r>
    </w:p>
    <w:p>
      <w:r>
        <w:t>A/3104/2017 - 7/12 -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Il y a lieu de l’interpréter de la même façon que ces autres dispositions, même si elle paraît laisser un pouvoir d’appréciation à l’autorité lorsque les deux conditions d’une remise sont remplies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w:t>
      </w:r>
    </w:p>
    <w:p>
      <w:r>
        <w:t>A/3104/2017 - 8/12 - situation difficile, sont cumulatives (ATF 126 V 48 consid. 3c p. 53 ; DTA 2001 p. 160, C 223/00 consid. 5 ; ATAS/14/2016 du 12 janvier 2016 consid. 5a).</w:t>
      </w:r>
    </w:p>
    <w:p>
      <w:r>
        <w:rPr>
          <w:b/>
        </w:rPr>
        <w:t>E. 4</w:t>
      </w:r>
    </w:p>
    <w:p>
      <w:r>
        <w:t>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(ATAS/376/2016 du 17 mai 2016 consid. 5b), les art. 32 al. 2 et 48B al. 1 LMC sont de rang légal, poursuivent un intérêt public et respectent le principe de la proportionnalité. Les restrictions qu’ils</w:t>
      </w:r>
    </w:p>
    <w:p>
      <w:r>
        <w:t>A/3104/2017 - 9/12 -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w:t>
      </w:r>
    </w:p>
    <w:p>
      <w:r>
        <w:rPr>
          <w:b/>
        </w:rPr>
        <w:t>E. 5</w:t>
      </w:r>
    </w:p>
    <w:p>
      <w:r>
        <w:t>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elle a maintenu cette jurisprudence sur le plan du principe, parce que la révocation ex tunc d’une ARE et, partant, l’obligation des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w:t>
      </w:r>
    </w:p>
    <w:p>
      <w:r>
        <w:rPr>
          <w:b/>
        </w:rPr>
        <w:t>E. 6</w:t>
      </w:r>
    </w:p>
    <w:p>
      <w:r>
        <w:t>a. Selon l’art. 29 al. 2 de la Constitution fédérale de la Confédération suisse du 18 avril 1999 (Cst. - RS 101), les parties ont le droit d’être entendues. La jurisprudence déduit de cette disposition constitutionnelle – comme d’ailleurs</w:t>
      </w:r>
    </w:p>
    <w:p>
      <w:r>
        <w:t>A/3104/2017 - 10/12 -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124 V 181 consid. 1a, 375 consid. 3b et les références ; arrêt du Tribunal fédéral 2C_1042/2013 du 11 juin 2014 consid. 2.2 ; arrêt du Tribunal fédéral des assurances I 604/01 du 13 août 2002 consid. 2a/aa ; ATAS/257/2017 du 30 mars 2017 consid. 6b).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V 132 consid. 2b et les références). b. En l’espèce, la décision attaquée indique que la recourante n’avait pas licencié l’employé avec effet immédiat et pour de justes motifs, puisqu’elle avait respecté le délai de congé et payé le salaire jusqu’à son terme, même si elle l’avait libéré de son obligation de travailler. Elle mentionne en outre que le licenciement a été explicitement motivé par « des raisons de réorganisation ». Ce faisant, l’intimé a dument motivé sa décision. Il n’avait pas à prendre position, point par point, sur chacun des arguments avancés par la recourante dans son opposition. Le grief de violation du droit d’être entendu soulevé par la recourante est mal fondé.</w:t>
      </w:r>
    </w:p>
    <w:p>
      <w:r>
        <w:rPr>
          <w:b/>
        </w:rPr>
        <w:t>E. 7</w:t>
      </w:r>
    </w:p>
    <w:p>
      <w:r>
        <w:t>a. Sur le fond, il s’impose de relever premièrement que la résiliation du contrat de travail de l’employé n’est pas intervenue formellement pour de justes motifs. Non seulement la recourante n’a pas évoqué, dans sa lettre de résiliation, de justes motifs de résiliation immédiate du contrat de travail, mais encore elle a donné le congé à l’employé pour le prochain terme du délai de congé, qui était alors d’un mois, soit le 23 mars 2017 pour le 30 avril 2017, et elle indique lui avoir effectivement versé son salaire jusqu’à ce terme. De surcroît, la recourante a explicitement motivé le licenciement de l’employé par des raisons de réorganisation, sans dispenser ce dernier formellement de son obligation de travailler jusqu’au terme de son contrat. Peu importe qu’elle l’en aurait dispensé dans les faits. Cette question-ci peut d’autant plus rester ouverte que la recourante a fini par faire mention, dans son recours, du fait que l’employé avait encore un solde de vacances à prendre, ce qui tend à contredire, du moins partiellement, l’octroi d’une dispense de travailler.</w:t>
      </w:r>
    </w:p>
    <w:p>
      <w:r>
        <w:t>A/3104/2017 - 11/12 - b. Il appert au surplus, à teneur de l’avertissement adressé le 15 mars 2017 à l’employé, que ladite réorganisation a consisté à faire venir au bowling B______, où travaillait l’employé, des mécaniciens du bowling D_____, compte tenu de la dégradation des machines de bowling, qui présentaient des pannes, dont la recourante a dû concéder – ainsi qu’elle l’a écrit dans ledit avertissement – qu’elles n’étaient pas prévisibles. Force est de retenir qu’une rupture de lien de confiance n’a alors pas été invoquée et ne faisait donc pas obstacle, encore le 15 mars 2017, à une poursuite de la collaboration de l’employé, qu’elle a effectivement encore gardé à son service, puis qu’elle a licencié, le 23 mars 2017, sans invoquer un nouvel incident. c. La recourante n’a par ailleurs pas contacté l’intimé avant de licencier l’employé, contrairement à l’engagement qu’elle avait pris de le faire lorsqu’elle avait sollicité l’octroi d’une ARE. Il lui aurait alors été loisible de voir avec l’intimé si, exceptionnellement, un licenciement à terme plutôt qu’avec effet immédiat – notamment compte tenu d’une trop grande incertitude quant à l’issue d’une contestation d’un licenciement immédiat devant la juridiction des Prud’hommes, en plus de considérations sociales – aurait été admis sans impliquer une obligation intégrale de restituer les ARE perçues, donc au bénéfice d’une assurance donnée. d. Il n’est dans ces conditions pas manifeste que la recourante avait de justes motifs de licencier l’employé avec effet immédiat, si bien que, même si elle avait effectivement dispensé l’employé de son obligation de travailler, il n’y a pas matière à déroger à la jurisprudence selon laquelle un examen matériel de l’existence de justes motifs de licenciement avec effet immédiat n’a en principe pas à intervenir lorsque, comme en l’occurrence, la recourante doit en tout état être réputée avoir renoncé à se prévaloir d’un éventuel motif de licenciement immédiat.</w:t>
      </w:r>
    </w:p>
    <w:p>
      <w:r>
        <w:rPr>
          <w:b/>
        </w:rPr>
        <w:t>E. 8</w:t>
      </w:r>
    </w:p>
    <w:p>
      <w:r>
        <w:t>La décision attaquée est conforme au droit, et elle ne consacre pas une violation du principe de l’interdiction de l’arbitraire, d’autant plus d’ailleurs que reste réservée la question de savoir si les deux conditions d’une remise, totale ou partielle, de l’obligation de restituer – la bonne foi et l’exposition à une situation financière difficile – sont ou non remplies.</w:t>
      </w:r>
    </w:p>
    <w:p>
      <w:r>
        <w:rPr>
          <w:b/>
        </w:rPr>
        <w:t>E. 9</w:t>
      </w:r>
    </w:p>
    <w:p>
      <w:r>
        <w:t>Le recours doit être rejeté. La procédure est gratuite, la recourante n’ayant pas agi de manière téméraire ni témoigné de légèreté (art. 89H al. 1 LPA). * * * * * *</w:t>
      </w:r>
    </w:p>
    <w:p>
      <w:r>
        <w:t>A/3104/2017 - 12/12 -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