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ATAS/874/2011 vom 23. September 2011</w:t>
      </w:r>
    </w:p>
    <w:p>
      <w:r>
        <w:t>GE Cour de justice, 2011-09-23, FR</w:t>
      </w:r>
    </w:p>
    <w:p>
      <w:r>
        <w:rPr>
          <w:b/>
        </w:rPr>
        <w:t xml:space="preserve">Quelle: </w:t>
      </w:r>
      <w:r>
        <w:t>https://mcp.opencaselaw.ch/entscheid/ge_gerichte_ATAS_874_2011</w:t>
      </w:r>
    </w:p>
    <w:p>
      <w:r>
        <w:t>FR: GE_GERICHTE ATAS/874/2011 du 23 septembre 2011</w:t>
      </w:r>
    </w:p>
    <w:p>
      <w:r>
        <w:t>IT: GE_GERICHTE ATAS/874/2011 del 23 settembre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en temps utile, le recours est recevable (art. 60 LPGA).</w:t>
      </w:r>
    </w:p>
    <w:p>
      <w:r>
        <w:rPr>
          <w:b/>
        </w:rPr>
        <w:t>E. 3</w:t>
      </w:r>
    </w:p>
    <w:p>
      <w:r>
        <w:t>La recourante requiert la restitution de l'effet suspensif à son recours.</w:t>
      </w:r>
    </w:p>
    <w:p>
      <w:r>
        <w:rPr>
          <w:b/>
        </w:rPr>
        <w:t>E. 4</w:t>
      </w:r>
    </w:p>
    <w:p>
      <w:r>
        <w:t>a) Selon l'art. 54 al. 1 let. c LPGA, les décisions et les décisions sur opposition sont exécutoires lorsque l'effet suspensif attribué à une opposition ou à un recours a été retiré.</w:t>
      </w:r>
    </w:p>
    <w:p>
      <w:r>
        <w:t>A/2708/2011 - 7/9 -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Dans l'arrêt précité du 19 septembre 2006 (I 439/06), le TFA a considéré que, dans le contexte de la révision du droit à la rente, l'intérêt de l'assurée à pouvoir continuer à bénéficier de la rente qu'elle percevait jusqu'alors n'était pas d'une importance décisive, tant qu'il n'y avait pas lieu d'admettre que selon toute vraisemblance elle l'emporterait dans la cause principale.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w:t>
      </w:r>
    </w:p>
    <w:p>
      <w:r>
        <w:t>A/2708/2011 - 8/9 -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w:t>
      </w:r>
    </w:p>
    <w:p>
      <w:r>
        <w:rPr>
          <w:b/>
        </w:rPr>
        <w:t>E. 5</w:t>
      </w:r>
    </w:p>
    <w:p>
      <w:r>
        <w:t>En l'espèce, par décision de reconsidération ou de révision (reformatio in peius) du 15 septembre 2010, confirmée le 6 juillet 2011, l'intimée a refusé de prendre en charge les suites de l'accident du 10 juillet 2008, en particulier de payer les indemnités journalières; les laissant à la charge de l'assurance perte de gain maladie de l'employeur et de payer le frais de traitement, les laissant à la charge de l'assurance maladie de l'assurée. La question de savoir si la décision du 15 septembre 2010 est une décision négative (qui nie tout droit à une prestation) ou une décision positive (qui supprime le droit à des prestations en cours), ce qui permet de déterminer si les conclusions de l'assurée - qui visent concrètement au paiement des indemnités journalières LAA - doivent être traitées comme une demande de mesures provisionnelles ou une demande de restitution de l'effet suspensif, peut rester ouverte. En effet, il s'avère que, bien que la situation de fait ne soit pas totalement claire, la probabilité que l'incapacité de travail de l'assurée en 2009 ne soit pas la conséquence de l'accident de juillet 2008, au vu des rapports médicaux produits, est suffisamment importante pour que l'intérêt de l'administration de ne pas verser des prestations prime sur celui de l'assurée de les percevoir. En effet, la difficulté de recouvrement de prestations versées à tort si la décision du 6 juillet 2011 est confirmée sur le fond conduit la Cour à admettre que les indemnités journalières ne doivent pas être versées à l'assurée.</w:t>
      </w:r>
    </w:p>
    <w:p>
      <w:r>
        <w:rPr>
          <w:b/>
        </w:rPr>
        <w:t>E. 6</w:t>
      </w:r>
    </w:p>
    <w:p>
      <w:r>
        <w:t>Ainsi, la demande de restitution de l'effet suspensif, le cas échéant de mesures provisionnelles visant au versement des indemnités journalières, est rejetée.</w:t>
      </w:r>
    </w:p>
    <w:p>
      <w:r>
        <w:t>A/2708/2011 - 9/9 -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