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ATAS/873/2011 vom 20. September 2011</w:t>
      </w:r>
    </w:p>
    <w:p>
      <w:r>
        <w:t>GE Cour de justice, 2011-09-20, FR</w:t>
      </w:r>
    </w:p>
    <w:p>
      <w:r>
        <w:rPr>
          <w:b/>
        </w:rPr>
        <w:t xml:space="preserve">Quelle: </w:t>
      </w:r>
      <w:r>
        <w:t>https://mcp.opencaselaw.ch/entscheid/ge_gerichte_ATAS_873_2011</w:t>
      </w:r>
    </w:p>
    <w:p>
      <w:r>
        <w:t>FR: GE_GERICHTE ATAS/873/2011 du 20 septembre 2011</w:t>
      </w:r>
    </w:p>
    <w:p>
      <w:r>
        <w:t>IT: GE_GERICHTE ATAS/873/2011 del 20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w:t>
      </w:r>
    </w:p>
    <w:p>
      <w:r>
        <w:t>A/1493/2011 - 14/23 -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date du 5 avril 2011, est postérieure à l'entrée en vigueur de la LPGA ainsi qu'à l'entrée en vigueur, le 1er janvier 2004, des modifications de la LAI (4ème révision) et le 1er janvier 2008, des modifications de la LAI relatives à la 5ème révision. Cependant, les faits pertinents, notamment l'aggravation de l'état de santé, remontent à mi-2005 et la dernière demande déposée date du 7 février 2006. Par conséquent, du point de vue matériel, le droit éventuel à une rente d'invalidité doit être examiné selon des nouvelles normes de la LPGA et selon des modifications de la LAI consécutives à la 4ème révision de cette loi, les modifications consécutives à la 5ème révision étant seulement applicable en cas d'aggravation de l'état de santé ou autre modification dès le 1er janvier 2008 et ce,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Le recours interjeté respectant les forme et délai prévus par la loi (art. 56 à 60 LPGA), sera déclaré recevable.</w:t>
      </w:r>
    </w:p>
    <w:p>
      <w:r>
        <w:rPr>
          <w:b/>
        </w:rPr>
        <w:t>E. 4</w:t>
      </w:r>
    </w:p>
    <w:p>
      <w:r>
        <w:t>Le litige porte sur la capacité de travail de l'assuré et, partant, sur son droit à une rente d'invalidité dès février 2005.</w:t>
      </w:r>
    </w:p>
    <w:p>
      <w:r>
        <w:rPr>
          <w:b/>
        </w:rPr>
        <w:t>E. 5</w:t>
      </w:r>
    </w:p>
    <w:p>
      <w:r>
        <w:t>a) Est réputée invalidité, la diminution de la capacité de gain, présumée permanente ou de longue durée, qui résulte d’une atteinte à la santé physique, ou mentale provenant d’une infirmité congénitale, d’une maladie ou d’un accident (art. 8 al. 1 LPGA et 4 al. 1 LAI dès le 1er janvier 2003).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en vigueur dès le 1er janvier 2003).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A/1493/2011 - 15/23 - b) En vertu de l'art 29 LAI en vigueur du 1er janvier 2003 au 31 décembre 2007, la rente prend naissance au plus tôt à la date dès laquelle l'assuré présente une incapacité de gain durable de 40% au moins et a présenté, en moyenne, une incapacité de travail de 40% pendant une année sans interruption notable. Il y a interruption notable de l’incapacité de travail lorsque l’assuré a été entièrement apte au travail pendant trente jours consécutifs au moins (art. 29ter RAI). Dès le 1er janvier 2008, l’art. 28 al. 1er LAI précise que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RAI). L’art. 28 al. 2 LAI dispose que l’assuré a droit à une rente entière s’il est invalide à 70% au moins, à trois quarts de rente s’il est invalide à 60% au moins, à une demi- rente s’il est invalide à 50% au moins ou à un quart de rente s’il est invalide à 40% au moins. En vertu de l’art. 48 LAI, dans sa teneur en vigueur du 1er janvier 2003 au 31 décembre 2007, le droit à des prestations arriérées est régi par l’art. 24 al. 1er LPGA (al. 1er). Si l’assuré présente sa demande plus de douze mois après la naissance du droit, les prestations, en dérogation à l’art. 24 al. 1er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En dérogation à l’art. 24 al. 1er LPGA, le Conseil fédéral peut limiter le droit au remboursement de certaines mesures de réadaptation exécutées avant qu’elles n’aient été agréées (al. 3).</w:t>
      </w:r>
    </w:p>
    <w:p>
      <w:r>
        <w:rPr>
          <w:b/>
        </w:rPr>
        <w:t>E. 6</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w:t>
      </w:r>
    </w:p>
    <w:p>
      <w:r>
        <w:t>A/1493/2011 - 16/23 -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La jurisprudence considère à cet égard que sous l’angle de l’obligation de diminuer le dommage, s'il est vrai que des facteurs tels que l'âge, le manque de formation ou les difficultés linguistiques jouent un rôle non négligeable pour déterminer dans un</w:t>
      </w:r>
    </w:p>
    <w:p>
      <w:r>
        <w:t>A/1493/2011 - 17/23 -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w:t>
      </w:r>
    </w:p>
    <w:p>
      <w:r>
        <w:rPr>
          <w:b/>
        </w:rPr>
        <w:t>E. 7</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Dans l’assurance-invalidité, l’instruction des faits d’ordre médical se fonde sur le rapport du médecin traitant destiné à l’Office de l’assurance-invalidité, les expertises de médecins indépendants</w:t>
      </w:r>
    </w:p>
    <w:p>
      <w:r>
        <w:t>A/1493/2011 - 18/23 -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Les organes d’observation professionnelle ont pour fonction de compléter les données médicales en examinant concrètement dans quelle mesure l’assuré est à même de mettre en valeur une capacité de travail ou de gain sur le marché du travail. Dans les cas où ces appréciations (d’observation professionnelle et médicale) divergent sensiblement, il incombe à l’administration ou au juge de confronter les deux évaluations et, au besoin, de requérir un complément d’instruction (arrêt I 35/03 du 24 octobre 2003 consid. 4.3 et les références, in Plädoyer 2004/3 page 64). d)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w:t>
      </w:r>
    </w:p>
    <w:p>
      <w:r>
        <w:rPr>
          <w:b/>
        </w:rPr>
        <w:t>E. 9</w:t>
      </w:r>
    </w:p>
    <w:p>
      <w:r>
        <w:t>e)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w:t>
      </w:r>
    </w:p>
    <w:p>
      <w:r>
        <w:t>A/1493/2011 - 19/23 -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Le Tribunal cantonal, respectivement le Tribunal administratif fédéral, doit mettre en oeuvre les expertises médicales lorsqu'il constate qu'une instruction est nécessaire, ceci afin de garantir l'égalité des armes au procès. A titre d'exception, un renvoi à l'Office AI demeure possible lorsqu'il est seul en mesure de répondre à une question non éclaircie ou lorsqu'il s'agit d'un éclaircissement ou d'une précision ou d'un complément d'une expertise (arrêt 9C_646/2010).</w:t>
      </w:r>
    </w:p>
    <w:p>
      <w:r>
        <w:rPr>
          <w:b/>
        </w:rPr>
        <w:t>E. 10</w:t>
      </w:r>
    </w:p>
    <w:p>
      <w:r>
        <w:t>En l'espèce, il sied de relever d'abord que l'incapacité de travail médicalement attestée a débuté le 3 juillet 2005 de sorte que le délai de carence d'un an échoit le 1er juillet 2006, ce qui correspond au début du droit à une rente pour l'assuré. Sur ce point donc la décision entreprise n'est pas critiquable. Seule l'aggravation de l'état de santé postérieure à la dernière décision de refus de prestation du 18 mai 2004, confirmée par le Tribunal des assurances sociales, est au demeurant déterminante. Ensuite, l'expertise du CEMED est convaincante et a valeur probante sur certains points, mais pas sur d'autres. En premier lieu, du point de vue cardiologique, les conclusions motivées et fondées sur tous les éléments du dossier, relèvent que les seules limitations fonctionnelles sont liées à l'essoufflement (efforts à éviter, périmètre de marche limité, etc.), de sorte que sur ce point, l'activité d'agent commercial au guichet de X__________ est adaptée. Cet avis n'est pas contesté par les autres cardiologues que l'assuré a consultés, et qui relèvent que les douleurs thoraciques sont soulagées par une médication efficace. Quant à l'avis contraire du Dr G__________ sur ce point, il n'a pas été motivé malgré la demande du SMR. En second lieu, sur le plan psychique, les experts retiennent, à l'instar de tous les autres médecins qui se sont exprimés à ce sujet, que l'état dépressif de l'assuré s'est amendé depuis 2003 et le médecin traitant confirme en 2006 que ce trouble a disparu. Par contre, les experts évitent d'examiner la question de l'alcoolisme du recourant, cas échéant des autres troubles psychiques dont il souffre peut-être (liés au déni, consécutifs à des alcoolisations excessive durant de nombreuses années, etc.), malgré un doute quant à l'abstinence, dès lors que ces éléments n'auraient pas d'influence sur la capacité de travail de l'assuré, sans que l'on sache sur quel élément ils se basent pour l'affirmer, ce d'autant plus que l'assuré n'a jamais repris le travail depuis janvier 2001. En troisième lieu, du point de vue ostéo-articulaire, les experts confirment les limitations fonctionnelles concernant les hanches et la cheville de l'assuré (marche de longue durée ou en terrain inégal, station debout prolongée, montée et descente répétée d'escaliers), qui sont fondées sur les examens radiologiques et, dans une moindre mesure, sur leurs constatations objectives, et</w:t>
      </w:r>
    </w:p>
    <w:p>
      <w:r>
        <w:t>A/1493/2011 - 20/23 - retient ainsi que la situation est inchangée, aucune limitation n'empêchant l'exercice d'une activité en position assise avec possibilité de changer les positions. Ils ne tiennent ainsi pas compte, sans justifier leur position par l'examen des radiographies ou l'absence de médication suivie, des plaintes de l'assuré, qui déclare des douleurs plus importantes et une limitation accrue de la mobilité, suite à l'implantation de la seconde prothèse totale de la hanche droite, et ce malgré la constatation objective d'une mobilité limitée et plus douloureuse à droite qu'à gauche. En quatrième lieu, l'hernie inguinale est sans conséquence sur la capacité de travail de l'assuré selon le spécialiste en chirurgie viscérale ayant suivi l'assuré. En dernier lieu, l'expertise n'a pas comporté de volet neurologique, alors que les spécialistes qui ont suivi l'assuré attestent des conséquences sur sa mémoire et sa concentration, notamment, des multiples AVC subis depuis 2004. Compte tenu de cette absence d'examen spécialisé, les experts ne peuvent pas affirmer que ces conséquences "ne gênent pas l'assuré", (celui-ci ne travaille pas) et, par une évaluation très approximative et non motivée, implique une diminution de rendement de 20%. L'avis du Dr N________ n'est toutefois pas suffisamment étayé pour que la Cour puisse retenir que le trouble neurologique implique une incapacité de travail de 20% à 30%, ce qui, au demeurant, n'est pas totalement équivalent à une diminution de rendement. Surtout, les conclusions des experts sont contradictoires, voire incomplètes dès lors qu'ils retiennent que l'assuré peut travailler à 100% dans sa dernière activité d'agent commercial, tout en admettant que, compte tenu des problèmes de mémoire, il serait préférable qu'il effectue un travail manuel, lequel est en grande partie rendu impossible en raison des limitations ostéo-articulaires. Ainsi, l'expertise du CEMED n'est pas suffisamment probante pour retenir que l'assuré a une pleine capacité de travail, sauf durant les périodes d'incapacité admises. A cela s'ajoute le trouble ostéo-articulaire dont souffre l'assuré, dont il se plaignait déjà lors de l'expertise et qui a été objectivé ensuite, mais avant la décision dont est recours. Toutefois, ni l'avis du médecin traitant, ni ceux des autres spécialistes ne permettent de retenir que l'assuré n'a plus aucune capacité de travail, ni d'établir quelle serait sa capacité de travail résiduelle et dans quelle activité. D'ailleurs, le SMR relevait que les limitations fonctionnelles retenues par le CEMED devaient être traduites en termes de métier par un spécialiste en réadaptation, ce qui n'a pas été fait. En tant qu'elle retient une pleine capacité de travail dans l'activité antérieure, la décision entreprise est infondée et doit être annulée. Ainsi et contrairement à l'avis changeant de l'assuré, qui se plaint d'abord d'une instruction lacunaire de l'OAI, puis estime qu'elle est suffisante pour lui octroyer une rente entière, il s'avère qu'une instruction complémentaire est nécessaire. Celle- ci doit porter sur les affections neurologiques de l'assuré et leur conséquences sur sa capacité de travail, sur son alcoolisme, et en cas d'abstinence, les conséquences sur sa santé psychique et physique, sur les suites objectivées de la seconde implantation de prothèse et l'ensemble des troubles ostéo-articulaires, y compris à l'épaule. Surtout, cette expertise multidisciplinaire large doit précisément examiner les</w:t>
      </w:r>
    </w:p>
    <w:p>
      <w:r>
        <w:t>A/1493/2011 - 21/23 - conséquences globales et combinées des nombreuses affections de l'assuré, y compris de celles qui, prises séparément, n'ont pas d'incidence sur un travail sédentaire. On pense par exemple à l'essoufflement, à la fatigue et aux douleurs liées aux troubles cardiaques, à l'obstruction liée aux troubles pneumologiques, etc. De plus, les constatations médicales doivent être confrontées à une évaluation concrète des capacités physiques et neurologiques de l'assuré, de sorte qu'une expertise incluant un séjour de plusieurs jours dans une clinique spécialisée dans la réadaptation paraît nécessaire. Certes, la Cour pourrait elle-même ordonner une telle expertise, mais si celle-ci aboutit à la conclusion que l'assuré ne peut plus travailler dans sa précédente activité, ses problèmes de mémoire et/ou de concentration excluant la vente d'abonnements de bus et la gestion d'une caisse, mais qu'il dispose d'une capacité résiduelle dans une activité adaptée, il faudra de toute façon renvoyer la cause à l'intimé pour déterminer quelle activité est adaptée, si une mesure professionnelle est nécessaire et, in fine, pour procéder à la comparaison des revenus, se prononcer sur l'abattement du salaire statistique retenu afin de déterminer le taux d'invalidité. Pour ce motif, conforme à la jurisprudence, la cause sera renvoyée à l'intimé pour instruction complémentaire dans le sens des considérants. L'inquiétude de l'assuré, qui a déposé sa demande en 2006 et qui craint que l'instruction soit encore prolongée de plusieurs années est légitime. Toutefois, il semble que l'ensemble des médecins traitants et spécialisés se soient suffisamment prononcés sur l'évolution de son état de santé, de sorte qu'il est inutile de tous les interpeller à nouveau, l'expertise multidisciplinaire pouvant, quant à elle, être mise sur pied dans un délai de quelques mois.</w:t>
      </w:r>
    </w:p>
    <w:p>
      <w:r>
        <w:rPr>
          <w:b/>
        </w:rPr>
        <w:t>E. 11</w:t>
      </w:r>
    </w:p>
    <w:p>
      <w:r>
        <w:t>Ainsi, le recours est partiellement admis, la décision du 5 avril 2011 est annulée et la cause est renvoyée à l'intimé pour instruction complémentaire au sens des considérants.</w:t>
      </w:r>
    </w:p>
    <w:p>
      <w:r>
        <w:rPr>
          <w:b/>
        </w:rPr>
        <w:t>E. 12</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1'500 fr. en faveur du recourant, qui</w:t>
      </w:r>
    </w:p>
    <w:p>
      <w:r>
        <w:t>A/1493/2011 - 22/23 - obtient partiellement gain de cause et, au vu du nombre d'écritures et en l'absence d'audiences.</w:t>
      </w:r>
    </w:p>
    <w:p>
      <w:r>
        <w:t>A/1493/2011 - 23/23 -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