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ATAS/873/2008 vom 13. August 2008</w:t>
      </w:r>
    </w:p>
    <w:p>
      <w:r>
        <w:t>GE Cour de justice, 2008-08-13, FR</w:t>
      </w:r>
    </w:p>
    <w:p>
      <w:r>
        <w:rPr>
          <w:b/>
        </w:rPr>
        <w:t xml:space="preserve">Quelle: </w:t>
      </w:r>
      <w:r>
        <w:t>https://mcp.opencaselaw.ch/entscheid/ge_gerichte_ATAS_873_2008</w:t>
      </w:r>
    </w:p>
    <w:p>
      <w:r>
        <w:t>FR: GE_GERICHTE ATAS/873/2008 du 13 août 2008</w:t>
      </w:r>
    </w:p>
    <w:p>
      <w:r>
        <w:t>IT: GE_GERICHTE ATAS/873/2008 del 13 agosto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a) La loi fédérale sur la partie générale du droit des assurances sociales du 6 octobre 2000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 C'est pourquoi les procédures pendantes au 1er janvier 2003 ou introduites après cette date devant un Tribunal cantonal compétent en matière d'assurances sociales sont régies par les nouvelles règles de procédure contenues à la LPGA et par les dispositions de procédures contenues dans les différentes lois spéciales modifiées par la LPGA. b) En l'espèce, la recourante a formé une demande de prestations d'assurance- invalidité en octobre 2002 suite à son incapacité de travail dès le 20 novembre 2001. Par conséquent, il y a lieu d'appliquer les dispositions légales dans leur ancienne teneur jusqu'au 1er janvier 2003, et ensuite la nouvelle réglementation légale dans sa teneur valable à la date de la décision litigieuse. Cependant,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 et les arrêts cités). Les dispositions de la LAI seront dès lors citées dans leur teneur antérieure au 1er janvier 2008.</w:t>
      </w:r>
    </w:p>
    <w:p>
      <w:r>
        <w:t>A/877/2007 - 9/15 -</w:t>
      </w:r>
    </w:p>
    <w:p>
      <w:r>
        <w:rPr>
          <w:b/>
        </w:rPr>
        <w:t>E. 3</w:t>
      </w:r>
    </w:p>
    <w:p>
      <w:r>
        <w:t>Déposé dans les forme et délai prescrits par la loi, le présent recours est recevable (art. 38 al. 4 let. c et 56 ss LPGA).</w:t>
      </w:r>
    </w:p>
    <w:p>
      <w:r>
        <w:rPr>
          <w:b/>
        </w:rPr>
        <w:t>E. 4</w:t>
      </w:r>
    </w:p>
    <w:p>
      <w:r>
        <w:t>Le litige porte sur le point de savoir si les atteintes à la santé dont souffre la recourante provoquent une invalidité à un degré suffisant pour ouvrir le droit aux prestations de l'assurance-invalidité.</w:t>
      </w:r>
    </w:p>
    <w:p>
      <w:r>
        <w:rPr>
          <w:b/>
        </w:rPr>
        <w:t>E. 5</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Elle est définie à l'art. 8 al. 1 LPGA comme l'incapacité de gain totale ou partielle qui est présumée permanente ou de longue durée.</w:t>
      </w:r>
    </w:p>
    <w:p>
      <w:r>
        <w:t>A/877/2007 - 10/15 -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w:t>
      </w:r>
    </w:p>
    <w:p>
      <w:r>
        <w:rPr>
          <w:b/>
        </w:rPr>
        <w:t>E. 7</w:t>
      </w:r>
    </w:p>
    <w:p>
      <w:r>
        <w:t>En vertu de l’art. 28 al. 1 LAI, dans sa teneur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Selon l'art. 28 al. 1 LAI dans sa teneur entrée en vigueur le 1er janvier 2004, l'assuré a droit à une rente s'il est invalide à 40 % au moins. La rente est échelonnée comme suit, selon le taux d'invalidité : 40 % au moins un quart, 50 % au moins une demie, 60 % au moins trois-quarts et 70 % au moins rente entière. Selon l'art. 29 al. 1 let. b LAI, le droit à la rente prend naissance au plus tôt à la date à laquelle l'assuré a présenté, en moyenne, une incapacité de travail de 40% au moins pendant une année sans interruption notable (art. 6 LPGA).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w:t>
      </w:r>
    </w:p>
    <w:p>
      <w:r>
        <w:t>A/877/2007 - 11/15 -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ces données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sauraient suffire pour justifier une invalidité. Dans le cadre de l'examen du droit aux prestations de l'assurance-sociale, l'allégation de douleurs doit être confirmée par des observations médicales concluantes et être reportée à un diagnostic posé dans le cadre d'une classification reconnue,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w:t>
      </w:r>
    </w:p>
    <w:p>
      <w:r>
        <w:t>A/877/2007 - 12/15 - Sans remettre en cause le principe de la libre appréciation des preuves, le Tribunal fédéral des assurances a posé des lignes directrices en ce qui concerne la manière d'apprécier certains types d'expertises ou de rapports médicaux (ATF 125 V 352 ss consid. 3). Il a ainsi admis que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10</w:t>
      </w:r>
    </w:p>
    <w:p>
      <w:r>
        <w:t>En l'espèce, aussi bien la SUVA que l'intimé ont considéré que la recourante présente une capacité de travail totale dans une activité adaptée dès août 2003. Cette appréciation est confirmée par l'expertise judiciaire. Celle-ci remplit tous les réquisits jurisprudentiels pour lui reconnaître une pleine valeur probante. Elle comporte notamment une anamnèse complète, prend en considération les plaintes et repose sur un examen clinique approfondi. Compte tenu des limitations constatées à l'examen et les éléments de discordance relevés, ses conclusions sont par ailleurs convaincantes. A cet égard, l'expert a notamment relevé des incohérences fonctionnelles "évidentes" et l'absence d'atteintes objectivables consécutives aux déficits fonctionnels allégués, tels que notamment la fonte musculaire et des déficits</w:t>
      </w:r>
    </w:p>
    <w:p>
      <w:r>
        <w:t>A/877/2007 - 13/15 - de mobilité articulaire. Ces éléments permettent de comprendre la divergence de l'appréciation de la capacité de travail par les médecins spécialistes et le COPAI. L'avis du Dr G_________ n'est pas non plus contredit par d'autres spécialistes en la matière. Au contraire, il est partagé par le SMR et les médecins de la SUVA. Le SMR a ainsi constaté que des mesures professionnelles pouvaient être mises en œuvre dès août 2003, tout en relevant une amélioration de l'abduction et de la flexion du bras gauche, par rapport à l'examen du Dr B_________ du 17 février 2003. Dans son rapport d'examen médical final du 8 août 2003, ce dernier médecin a également observé que la mobilité de la rotation de l'épaule gauche s'était améliorée, que la capsulite retractile n'était plus au premier plan et qu'il n'y avait plus de signe d'algodystrophie active. La SUVA a donc aussi considéré que l'état de santé de la recourante s'était amélioré. Seul le médecin traitant a un avis divergent.. Cependant, selon la jurisprudence,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Certes, le Centre d'intégration professionnelle (ci-après : CIP) a mentionné dans son rapport COPAI du 17 novembre 2005 que le rendement minimum exigible de la recourante était de 50 %. Il convient cependant d'en conclure que le rendement peut être supérieur à ce pourcentage, puisqu'il s'agit d'un minimum. Par ailleurs, il appert que ce centre n'a en fait pas pu déterminer la capacité de travail de la recourante, dès lors que celle-ci a plutôt cherché à démontrer son incapacité à réaliser des travaux même très simples et ne nécessitant aucun effort physique. Quant au Dr F_________, il n'affirme pas que la recourante ne pourrait pas travailler à 100 %. Il se contente de reprendre ses plaintes et mentionne notamment qu'"elle est totalement convaincue de son incapacité à reprendre une activité, aussi légère soit-elle". Il se fonde du reste sur le stage effectué au COPAI et les conclusions des maîtres de réadaptation. Il ne saurait dès lors être considéré que le médecin-conseil du COPAI ait émis un avis différent à celui de l'expert judiciaire et du SMR. Il sied par ailleurs de relever que les constatations médicales l'emportent sur celles qui peuvent être faites à l'occasion d'un stage d'observation professionnelle, lesquelles sont susceptibles d'être influencées par les éléments subjectifs liés au comportement de l'assuré pendant le stage (ATFA non publié du 6 mai 2003, I 762/02), ce qui est manifestement le cas ici.</w:t>
      </w:r>
    </w:p>
    <w:p>
      <w:r>
        <w:t>A/877/2007 - 14/15 - Au vu de ce qui précède, il y a lieu d'admettre une pleine capacité de travail de la recourante dans une activité adaptée dès août 2003. Or, dans celle-ci, la perte de gain de la recourante s'élève au plus à 38 %, étant précisé que le calcul de la perte de gain de la SUVA n'a pas été contesté. Un tel taux n'ouvre pas le droit à une rente.</w:t>
      </w:r>
    </w:p>
    <w:p>
      <w:r>
        <w:rPr>
          <w:b/>
        </w:rPr>
        <w:t>E. 11</w:t>
      </w:r>
    </w:p>
    <w:p>
      <w:r>
        <w:t>Au vu de ce qui précède, le recours sera rejeté.</w:t>
      </w:r>
    </w:p>
    <w:p>
      <w:r>
        <w:rPr>
          <w:b/>
        </w:rPr>
        <w:t>E. 14</w:t>
      </w:r>
    </w:p>
    <w:p>
      <w:r>
        <w:t>Dans la mesure où la recourante succombe, elle sera condamnée à un émolument de justice de 200 fr., en application de l'art. 69 al. 1 bis LAI qui est entré en vigueur le 1er juillet 2006.</w:t>
      </w:r>
    </w:p>
    <w:p>
      <w:r>
        <w:t>A/877/2007 - 15/15 -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