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ATAS/872/2016 vom 1. November 2016</w:t>
      </w:r>
    </w:p>
    <w:p>
      <w:r>
        <w:t>GE Cour de justice, 2016-11-01, FR</w:t>
      </w:r>
    </w:p>
    <w:p>
      <w:r>
        <w:rPr>
          <w:b/>
        </w:rPr>
        <w:t xml:space="preserve">Quelle: </w:t>
      </w:r>
      <w:r>
        <w:t>https://mcp.opencaselaw.ch/entscheid/ge_gerichte_ATAS_872_2016</w:t>
      </w:r>
    </w:p>
    <w:p>
      <w:r>
        <w:t>FR: GE_GERICHTE ATAS/872/2016 du 1 novembre 2016</w:t>
      </w:r>
    </w:p>
    <w:p>
      <w:r>
        <w:t>IT: GE_GERICHTE ATAS/872/2016 del 1 novembre 2016</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art. 60 LPGA) et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t>A/1038/2013 - 14/29 -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4d).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w:t>
      </w:r>
    </w:p>
    <w:p>
      <w:r>
        <w:t>A/1038/2013 - 15/29 - de son entrée en vigueur [ATF 117 V 93 consid. 6b ; 112 V 360 consid. 4a ; RAMA 1998 KV 37 p. 316 consid. 3b]). La LAI a subi plusieurs modifications depuis que la recourante s’est installée en Suisse en septembre 1994, alors que ladite loi avait pour teneur celle issue de sa 3ème révision, du 22 mars 1991, entrée en vigueur le 1er janvier 1993. La 4ème révision a été adoptée le 21 mars 2003 et est entrée en vigueur le 1er janvier 2004, la 5ème révision respectivement les 6 octobre 2006 et 1er janvier 2008, et la révision dite 6a respectivement les 18 mars 2011 et 1er janvier 2012. Les questions touchant à l’évaluation de l’invalidité n’ont cependant pas connu de modifications substantielles au fil de ces différentes révisions (arrêt du Tribunal fédéral des assurances I.249/05 du 11 juillet 2006 consid. 2.1 et Message concernant la modification de la loi fédérale sur l'assurance-invalidité du 22 juin 2005, FF 2005 p. 4322). Concernant le droit à une rente d’invalidité en tant qu’il est lié à un nombre d’années de cotisation lors de la survenance de l’invalidité (cf. art. 6 al. 2 et 36 al. 1 LAI) – condition que l’intimé paraît remettre en question dans sa dernière écriture –, il sied d’indiquer que dans la version de la LAI en vigueur jusqu’au 31 décembre 2007, il appartenait aux assurés qui, lors de la survenance de l’invalidité, comptaient une année entière au moins de cotisations, mais que dès le 1er janvier 2008, date d’entrée en vigueur de la 5ème révision de la LAI (RO 2007 5129; FF 2005 4215), cette durée a été portée à trois ans (ATAS/786/2016 du</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w:t>
      </w:r>
    </w:p>
    <w:p>
      <w:r>
        <w:t>A/1038/2013 - 16/29 -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d/aa. L'élément déterminant pour la valeur probante d'un rapport médical n'est ni son origine, ni sa désignation, mais son contenu. À cet égard, il importe que les</w:t>
      </w:r>
    </w:p>
    <w:p>
      <w:r>
        <w:t>A/1038/2013 - 17/29 -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w:t>
      </w:r>
    </w:p>
    <w:p>
      <w:r>
        <w:t>A/1038/2013 - 18/29 -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d/cc.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a. La décision attaquée en l’espèce se fonde sur le rapport d’examen clinique rhumatologique et psychiatrique des Drs H______ et I______ du 21 mai 2012, qui n’a retenu aucun diagnostic ayant une répercussion durable sur la capacité de travail, mais, sans effet sur ladite capacité, d’une part, sur le plan rhumatologique, des dorsolombalgies communes, une surcharge pondérale et une fibromyalgie et, sur le plan psychiatrique, un épisode dépressif léger avec syndrome somatique. D’un point de vue formel, ledit rapport satisfait aux exigences émises sous cet angle à l’endroit des rapports d’expertise. Il émane en effet de spécialistes des disciplines médicales pertinentes pour juger du cas d’espèce, soit la médecine physique et de réadaptation et la psychiatrie, et son complément du 14 février 2014 confirmant le</w:t>
      </w:r>
    </w:p>
    <w:p>
      <w:r>
        <w:t>A/1038/2013 - 19/29 - diagnostic de fibromyalgie a été établi par un spécialiste en médecine physique et de rééducation et en rhumatologie. Il relate les différentes anamnèses devant être recueillies (personnelle, familiale, professionnelle, antécédents médicaux, ostéo- articulaire, psychosociale, psychiatrique et médicale par système), avec mention des plaintes de la recourante, décrit les status général, neurologique, ostéoarticulaire et psychiatrique de la recourante et fait le compte-rendu des rapports radiologiques figurant dans le dossier. Il pose ensuite des diagnostics et comporte une appréciation motivée du cas et des conclusions. b. À ce rapport d’examen clinique bi-disciplinaire du SMR s’opposent d’une part les avis des médecins traitants, respectivement la Dre J______ sur le plan rhumatologique et la Dre G______ sur le plan psychiatrique, et d’autre part le rapport d’expertise psychiatrique et son complément du Dr M______. En plus d’émaner de médecins-traitants, les rapports des Dres J______ et G______ figurant au dossier ne sont pas et n’ont d’ailleurs pas vocation à être des rapports d’expertise satisfaisant aux critères formels évoqués ci-dessus. Ils ne peuvent se voir reconnaître une même force probante que des rapports d’expertise, mais cela ne signifie pas qu’ils n’en ont aucune, que ce soit pour les diagnostics posés, les limitations fonctionnelles retenues ou l’appréciation de la capacité de travail de la recourante. Ils ont cependant une valeur probante atténuée, qui ne suffirait pas à renverser celle des examinateurs précités du SMR, d’autant plus d’ailleurs que, du moins s’agissant d’une fibromyalgie, ils ne se complètent pas mais tendent plutôt à se contredire, la Dre J______ a indiqué ne pas partager, en l’état de décembre 2013, le diagnostic de fibromyalgie (courrier du 10 décembre 2013), tandis que la Dre G______ a fait mention d’une capacité de travail diminuée, voire nulle, en raison de la pathologie somatique de la recourante, assimilée à de la fibromyalgie (courrier du 13 décembre 2013). Quant à lui, le rapport d’expertise du Dr M______ du 17 novembre 2015, complété le 21 août 2016, satisfait, d’un point de vue formel, aux exigences jurisprudentielles posées à l’égard de tels rapports. Non seulement il émane d’un spécialiste reconnu en psychiatrie et psychothérapie, de surcroît indépendant, mais encore il traite, rubrique par rubrique, les points devant l’être dans un rapport d’expertise, sous cet angle à l’instar du rapport d’examen précité du SMR. Peu importe qu’il soit plus concis que celui-ci, dès lors que, sur le plan matériel, il a une substance faisant autorité, dûment motivée et convaincante. c. D’un point de vue matériel, le rapport d’expertise judiciaire en question, portant sur le volet psychiatrique, retient, à l’inverse du rapport d’examen du SMR, des diagnostics affectant la capacité de travail de la recourante, à savoir – à teneur des explications fournies dans le complément de rapport du 21 août 2016 (levant une ambiguïté contenue à ce propos dans le rapport d’expertise du 17 novembre 2015) – deux diagnostics distincts au regard de la classification de référence mais intrinsèquement liés, un épisode dépressif moyen chronique et une modification durable de la personnalité après une expérience de catastrophe.</w:t>
      </w:r>
    </w:p>
    <w:p>
      <w:r>
        <w:t>A/1038/2013 - 20/29 - c/aa. Force est de retenir comme convaincant que – comme enfant puis jeune femme ayant vécu la guerre dans le Kurdistan iranien, le pilonnage de son village, ayant vu sa jeune sœur de cinq ans être tuée, avoir été déportée avec sa famille dans le sud de l’Irak et y avoir été internée dans un camp de prisonniers kurdes durant quelque quinze ans, y avoir été victime de brutalités, y avoir été mariée à l’âge de dix-huit ans et y avoir connu une hémorragie sévère après un accouchement difficile – la recourante a eu un parcours de vie jalonné non simplement de difficultés, mais bien de traumatismes. À ces derniers se sont ajoutées par la suite, même alors que la recourante se trouvait en sécurité en Suisse, des difficultés d’intégration et des charges de famille avec alors trois jeunes enfants, analphabète, dans un contexte de tensions conjugales, marquées en 2003 par une séparation du couple et en 2011 le divorce, en plus, en 2013, de soucis concernant la détresse d’une de ses filles en proie à une agressivité physique et psychologique de la part de son ancien petit ami. L’expert judiciaire n’a au demeurant pas retenu les diagnostics précités sur la seule base des éléments anamnestiques de son expertise, mais aussi de ses constatations ; tous les critères desdits diagnostics étaient réalisés. Aussi s’impose-t-il d’admettre comme étant pour le moins hautement vraisemblable que la recourante a développé un état dépressif moyen, d’évolution chronique, présent au moins depuis 2011, et que sa personnalité a été modifiée durablement des suites de ces événements traumatiques. S’il se pouvait que, comme l’avait retenu l’examinateur du SMR, le Dr I______, la recourant avait, en mai 2012, un épisode dépressif léger avec syndrome somatique, elle avait aussi, probablement depuis longtemps, des troubles anxieux, sous-estimés sinon même oubliés par ledit examinateur du SMR. Aussi se justifie-t-il de retenir, avec l’expert judiciaire, que la recourante souffre d’atteintes à la santé psychique cataloguées sous les diagnostics conjoints précités d’épisode dépressif moyen chronique et de modification durable de la personnalité après une expérience de catastrophe. De même faut-il accorder du crédit à l’affirmation de l’expert qu’en septembre et octobre 2011, la symptomatologie rapportée par la Dre G______ (même à la lumière des réponses fournies le 13 décembre 2013 par ladite psychiatre à la chambre de céans) ne justifiait pas de retenir une dépression d’un degré de gravité sévère justifiant de poser le diagnostic d’épisode dépressif sévère sans symptômes psychotiques, ainsi que la Dre G______ l’avait fait. L’intimé n’émet pas d’objections susceptibles de jeter le doute sur la pertinence des diagnostics posés par l’expert judiciaire. La chambre des assurances sociales retient donc que le rapport d’expertise et son complément ont pleine valeur probante déjà sur la question des diagnostics posés par l’expert judiciaire. c/bb. Dès lors qu’il retient, sur le plan psychiatrique, les deux diagnostics intriqués précités plutôt qu’un épisode dépressif léger avec syndrome somatique, et indépendamment de l’effet incapacitant ou non d’une fibromyalgie, il n’est pas surprenant que l’expert judiciaire parvienne à la conclusion, à l’inverse des</w:t>
      </w:r>
    </w:p>
    <w:p>
      <w:r>
        <w:t>A/1038/2013 - 21/29 - examinateurs du SMR, que la recourante ne dispose pas d’une pleine capacité de travail, autrement dit que ses atteintes à la santé ont des répercussions sur sa capacité de travail. Des avis globalement convergents ont été émis par les médecins traitants concernant les limitations fonctionnelles physiques de la recourante. Ainsi, le Dr D______ estimait en septembre 2011 que cette dernière ne devait pas exercer d’activités uniquement en position assise ou debout, ni en marchant, en se penchant, avec les bras au-dessus de la tête, accroupie, à genoux, en rotation en position assise ou debout, ni soulever ou porter des poids de plus de 5 kg, ni monter une échelle, un escabeau ou des escaliers ; elle avait des capacités de concentration, de compréhension, d’adaptation et une résistance limitées depuis 2009. En mai 2012 (et de même, substantiellement, en août 2013), la Dre J______ indiquait que la recourante était limitée dans les travaux lourds, les ports de charges, les positions assise ou debout prolongées et les mouvements répétés avec l’épaule droite principalement en élévation de l’épaule. En juillet 2013, pour la Dre G______, la recourante devait éviter le port de charges lourdes. Dans ce contexte, force est de voir une faiblesse du rapport d’examen clinique des médecins du SMR, en tant que ces derniers y affirment que la recourante ne présente aucune limitation fonctionnelle, tout en préconisant – sans en tirer de conclusion cohérente en termes de capacité de travail – que la recourante privilégie les activités à faibles charges physiques du fait, selon eux, d’un trouble douloureux chronique non incapacitant. De son côté, l’expert judiciaire, dont l’expertise a porté sur le volet psychiatrique, a retenu des limitations fonctionnelles liées à l’état dépressif et à l’anxiété pathologique de la recourante, à savoir de la fatigue, une diminution marquée de l’énergie, la tristesse de l’humeur et l’abattement moral, le ralentissement psychomoteur, la perte de motivation, le repli sur soi, un sentiment d’incompétence et d’inutilité, l’apathie et l’apragmatisme, ainsi que des réactions de peur et un sentiment d’insécurité participant au confinement de l’assurée à son domicile. Sans préjudice de la question d’une répercussion de limitations fonctionnelles physiques sur la capacité de travail de la recourante, un crédit certain doit être attribué à l’appréciation que l’expert judiciaire a faite sur le plan psychiatrique, de l’impact des atteintes à la santé psychique de la recourante et de ses limitations fonctionnelles, telles qu’il les a retenues les unes et les autres. L’appréciation divergente à ce propos des examinateurs et autres médecins du SMR ne sont pas propres à susciter le doute sur la pertinence des conclusions de l’expert judiciaire. La chambre de céans retient ainsi que, sur le plan psychiatrique, la capacité de travail de la recourante est diminuée de 50 % et que, dans la mise en œuvre de sa capacité de travail résiduelle (donc aussi de 50 %), la recourante connaît une baisse de rendement de l’ordre de 25 %. d. Il s’ensuit, à ce stade de l’examen du recours, que la décision attaquée ne saurait être jugée bien fondée, mais doit être annulée, dès lors qu’elle retient que la</w:t>
      </w:r>
    </w:p>
    <w:p>
      <w:r>
        <w:t>A/1038/2013 - 22/29 - recourane a une pleine capacité de travail dans toute activité professionnelle et lui refuse en conséquence toute prestation de l’AI.</w:t>
      </w:r>
    </w:p>
    <w:p>
      <w:r>
        <w:rPr>
          <w:b/>
        </w:rPr>
        <w:t>E. 6</w:t>
      </w:r>
    </w:p>
    <w:p>
      <w:r>
        <w:t>a. Il faut cependant encore aborder la question d’une fibromyalgie, que l’intimé a en l’espèce retenue à titre de diagnostic mais dont il a nié tout caractère invalidant. Avant d’examiner si ce diagnostic est pertinent et le cas échéant quelles conséquences sont susceptibles de devoir en être déduites, il sied d’exposer brièvement le cadre juridique de cette pathologie. b. Il a déjà été relevé (cf. consid. 4),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dont précisément la fibromyalgie (ATF 132 V 65 consid. 3 et 4.1).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w:t>
      </w:r>
    </w:p>
    <w:p>
      <w:r>
        <w:t>A/1038/2013 - 23/29 - démonstratives laissaient l’expert insensible, et l’allégation d’un lourd handicap malgré un environnement psychosocial intact (ATF 132 V 65 ; 131 V 49 ; 130 V 352 ; Michel VALTERIO, op. cit., n. 1199 ss ; Jacques-André SCHNEIDER, L’invalidité, les douleurs dites « non objectivables » et le Tribunal fédéral : la rupture, in Regards de marathoniens sur le droit suisse, 2015, p. 409 ss). c. Or,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w:t>
      </w:r>
    </w:p>
    <w:p>
      <w:r>
        <w:t>A/1038/2013 - 24/29 -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La nouvelle jurisprudence sur les troubles somatoformes et affections psychosomatiques assimilées est applicable au cas d’espèce, dès lors que la décision de l’intimé n’a pas acquis force de chose décidée (ATAS/364/2016 du</w:t>
      </w:r>
    </w:p>
    <w:p>
      <w:r>
        <w:rPr>
          <w:b/>
        </w:rPr>
        <w:t>E. 10</w:t>
      </w:r>
    </w:p>
    <w:p>
      <w:r>
        <w:t>mai 2016 consid. 10c). e. En l’espèce, s’ils ont retenu le diagnostic de fibromyalgie, les examinateurs du SMR et, à leur suite, l’intimé lui ont dénié tout caractère invalidant, en faisant référence logiquement aux critères jurisprudentiels posés par l’ATF 130 V 352 précité. Selon eux, il n’y avait pas de comorbidité psychiatrique manifeste dans son intensité et sa durée, l’épisode dépressif sévère ayant évolué favorablement ; il n’y avait pas non plus perte d’intégration sociale dans toutes les manifestations de la vie ; il n’y avait pas non plus résistance à un traitement conforme aux règles de l’art, la recourante ayant répondu favorablement à un tel traitement. Il n’apparaît pas et les parties ne prétendent pas que s’il fallait retenir en l’espèce un diagnostic de fibromyalgie, l’application de la nouvelle jurisprudence conduirait à devoir admettre que cette atteinte à la santé psychosomatique générerait une incapacité de travail supplémentaire insurmontable par un effort de volonté exigible, qui viendrait s’ajouter à celle qui – selon l’expert judiciaire, dont la chambre de céans admet les conclusions – restreint la capacité de travail de la recourante à 50 % et, dans la mise en œuvre de sa capacité de travail résiduelle, diminue son rendement de l’ordre de 25 %. Sans doute le Dr M______ n’a-t-il pas passé en revue les conditions auxquelles un caractère invalidant doit être reconnu à un trouble somatoforme douloureux, que ce soit au regard des critères de la jurisprudence devenue dans l’intervalle ancienne ou des indicateurs de la nouvelle jurisprudence. Et sans doute aussi le critère d’une comorbidité psychiatrique n’a-t-il plus le même poids qu’auparavant. L’expert judiciaire a cependant retenu les deux diagnostics intriqués l’un dans l’autre d’épisode dépressif moyen chronique et de modification durable de la personnalité après une expérience de catastrophe comme désignant les seules atteintes incapacitantes à la santé de la recourante. La question peut au demeurant rester ouverte, dans la mesure où elle s’inscrit dans le contexte d’une hypothèse dont il y a lieu de retenir – avec la Dre J______ et l’expert judiciaire – qu’elle n’est pas réalisée en l’espèce. Le diagnostic de fibromyalgie, posé initialement par le médecin traitant généraliste (non qualifié pour ce faire), apparaît avoir été retenu par l’intimé simultanément à la considération qu’il n’était pas incapacitant. La rhumatologue traitante J______ a suivi la recourante régulièrement depuis novembre 2011 ; elle a contesté ledit diagnostic en connaissance de cause, soulignant que les plaintes de la recourante concernaient des douleurs localisées au niveau de l’épaule droite et des lombaires et</w:t>
      </w:r>
    </w:p>
    <w:p>
      <w:r>
        <w:t>A/1038/2013 - 25/29 - que les examens cliniques et radiologiques mettaient en évidence des signes de tendinopathie de la coiffe des rotateurs de ladite épaule ainsi qu’un spondylolisthésis L5-S1 sur probable lyse isthmique bilatérale et discopathie L5-S1, constats assez similaires à ceux du Dr H______, dont elle partageait l’avis que lesdites atteintes n’étaient pas incapacitantes, sous réserve de respecter les limitations fonctionnelles de la recourante. Il n’est par ailleurs nullement ressorti, devant l’expert judiciaire, que cette dernière souffrirait de fibromyalgie. 7. a. L’intimé a utilisé sa dernière écriture pour mettre en doute que la recourante remplît les conditions d’assurance, autrement dit pour laisser entendre qu’elle pourrait avoir été sinon fût déjà atteinte d’invalidité lors de son entrée en Suisse en septembre 1994, en tirant argument du fait que, d’après l’expert judiciaire, elle avait subi dans son enfance et sa jeunesse au Kurdistan iranien et en Irak des traumatismes qui expliquaient l’épisode dépressif moyen chronique et la modification durable de la personnalité après une expérience de catastrophe que celui-ci avait diagnostiqués. b. La condition de la durée minimale de cotisation ouvrant doit à la rente doit être remplie au moment de la survenance de l'invalidité.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ATAS/212/2011 du 21 février 2011 consid. 6c ; ATAS/311/2013 du 26 mars 2013 consid. 9 ; Michel VALTERIO, op. cit., n. 1232). La survenance de l’invalidité ou du cas d’assurance est ainsi réalisée au moment où une prestation de l’AI est indiquée objectivement pour la première fois (Circulaire sur l’invalidité et l’impotence dans l’assurance-invalidité [CIIAI], n. 1028). La LAI ne repose pas sur une notion uniforme du cas d'assurance. Celui-ci doit être envisagé et déterminé par rapport à chaque prestation entrant concrètement en ligne de compte (« System des leistungsspezifischen Versicherungsfalles »). Il faut examiner pour chaque prestation pouvant entrer en considération selon les circonstances, au sens de l'art. 4 al. 2 LAI, quand l'atteinte à la santé est susceptible, de par sa nature et sa gravité, de fonder le droit à la prestation particulière (ATF 140 V 246 consid. 6.1 ; 126 V 241 consid. 4 ; ATAS/220/2015 du 24 mars 2015 consid. 8b ; Michel VALTERIO, op. cit., n. 1234). S’agissant d’une rente, l’invalidité est réputée survenue au moment où le droit à la rente prend naissance, c’est-à-dire au moment où – à teneur de l’actuel art. 28 al. 1</w:t>
      </w:r>
    </w:p>
    <w:p>
      <w:r>
        <w:t>A/1038/2013 - 26/29 - LAI (cf. art. 29 al. 1 aLAI) – l’assuré a présenté une incapacité de travail d’au moins 40 % en moyenne depuis une année sans interruption notable et qu’au terme de cette année son incapacité de travail ait perduré à 40 % au moins, les conditions supplémentaires conditionnant le droit à la rente prévues par l’art. 29 LAI restant réservées (Michel VALTERIO, op. cit., n. 1237 ; CIIAI, n. 1029). L’aggravation d’une atteinte à la santé préexistante ne crée pas un nouveau cas d’assurance. En revanche, l’apparition d’une atteinte à la santé complètement différente de l’atteinte initiale peut faire survenir un nouveau cas d’assurance (ATF 136 V 369 consid. 3.1 ; arrêt du Tribunal fédéral 9C_294/2013 du 20 août 2013 consid. 4.1 ; CIIAI, n. 1028.1). Le principe de l’unité du cas d’assurance n’est pas absolu ; il cesse d’être applicable lorsque l’invalidité subit des interruptions notables ou lorsque l’évolution de l’état de santé ne permet plus d’admettre l’existence d’un lien de fait et de temps entre les différentes phases, qui deviennent autant de cas nouveaux de survenance d’invalidité (ATF 126 V 10 consid. 2c ; arrêt du Tribunal fédéral des assurances I 54/03 du 13 janvier 2004 consid. 3 ; ATAS/212/2011 du 21 février 2011 consid. 6c ; Michel VALTERIO, op.cit., n. 1235). c. En l’espèce, si les principaux traumatismes subis par la recourante remontent à une période antérieure à son installation en Suisse, il n’est nullement établi qu’ils auraient développé des effets sur sa santé et sa capacité de gain avant ce moment-là et même avant plusieurs années plus tard, de surcroît dans une mesure suffisante en termes de temps et d’intensité. Il appert au contraire qu’après s’être occupée de ses alors très jeunes enfants, elle a suivi, durant cinq mois en 1999, une formation « nettoyage et entretien » et que – dans la mesure où les conditions du marché du travail le lui ont permis, de même que son analphabétisme, sa mauvaise maîtrise du français et le souhait de continuer à s’occuper de ses enfants (la cadette ayant alors cinq ans) –, elle a effectivement travaillé, fût-ce au bénéfice de prestations sociales, durant des périodes entrecoupées de périodes de chômage (sans qu’elle ne soit déclarée inapte au placement), et ce jusqu’en automne 2003, soit plus de neuf ans après son installation en Suisse. La recourante apparaît n’avoir pas consulté de médecins, du moins pour des motifs durablement incapacitants, avant la fin des années 2000. Dans son rapport médical du 8 septembre 2011, le Dr D______ a évoqué des problèmes de santé remontant à plusieurs années mais s’étant aggravés depuis 2009. Les rapports radiologiques du Dr O______ des 17 août 2010, 26 avril 2011 et 3 mai 2011 n’autorisent pas à conclure à une atteinte à la santé incapacitante, pas davantage que le rapport du Dr F______ du 23 décembre 2010. Dans son rapport du 19 septembre 2011, la Dre G______ fait remonter l’épisode dépressif qu’elle avait diagnostiqué à quelque huit ans, donc à l’année 2003, qui est l’année où le couple s’est séparé (l’année 2011 étant celle du divorce) ; quant au trouble de la personnalité évitante que ladite psychiatre avait par ailleurs diagnostiqué, il remontait certes à l’adolescence mais était sans effet sur la capacité de travail. Dans leur rapport du 21 mai 2012, les</w:t>
      </w:r>
    </w:p>
    <w:p>
      <w:r>
        <w:t>A/1038/2013 - 27/29 - examinateurs du SMR ont fait mention de dorsolombalgies communes évoluant depuis 1994, toutefois sans répercussion sur la capacité de travail ; ils ont conclu que, sur le plan psychiatrique, la recourante avait eu une incapacité de travail de 20 % au moins depuis début 2011, qui s’était améliorée à partir de mars 2012, si bien que sa capacité de travail exigible était, selon eux, de 100 % dans toute activité à partir de mars 2012. Selon le rapport médical du 11 mai 2012 de la Dre J______, la recourante présentait des lombalgies de longue date et des douleurs de l’épaule droite depuis mi-2011, sans en inférer d’incapacité de travail sous réserve du respect des limitations fonctionnelles. Dans son rapport d’expertise du 17 novembre 2015, le Dr M______ a fait mention d’une incapacité de travail vraisemblablement présente depuis novembre 2011, puis d’une amélioration, suivie d’une aggravation depuis mars 2012. L’objection esquissée par l’intimé que la recourante ne remplirait pas les conditions d’assurance doit donc être rejetée. 8. a. Dès lors qu’il a décidé que la recourante avait une pleine capacité de travail dans toute activité professionnelle, l’intimé ne s’est pas prononcé sur le statut qu’il y a lieu de reconnaître à la recourante pour la ou les périodes entrant ici en considération, à savoir en particulier si, à défaut d’atteinte incapacitante à la santé, celle-ci aurait exercé une activité lucrative (ce qui apparaît être le cas, vu qu’elle s’était mise à travailler dès 1999, du moins à temps partiel), le cas échéant à plein temps ou à temps partiel. b. Or, cette question est déterminante pour l’évaluation de l’invalidité. En effet,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de l'accomplissement des travaux habituels s’établit d'après le temps consacré à ces deux champs d'activité. La part de l'activité professionnelle dans l'ensemble des travaux est fixée en comparant l'horaire de travail usuel dans la profession en question et l'horaire accompli par l'assuré valide ; on calcule donc le rapport en pour-cent entre ces deux valeurs (ATF 104 V 136 consid. 2a; RCC 1992 p. 136 consid. 1b). La part des travaux habituels constitue le</w:t>
      </w:r>
    </w:p>
    <w:p>
      <w:r>
        <w:t>A/1038/2013 - 28/29 - reste du pourcentage, par rapport à un plein temps (ATF 130 V 393 consid. 3.3 et 104 V 136 consid. 2a). c. Si donc il y a lieu d’annuler la décision attaquée, parce qu’une incapacité de travail de 50 % et une baisse de rendement de l’ordre de 25 % dans la mise en œuvre de sa capacité de travail résiduelle doivent être reconnues à la recourante, il importe encore d’évaluer son invalidité, en déterminant notamment son statut, les activités professionnelles qui lui sont effectivement accessibles compte tenu desdits effets de ses atteintes à la santé, au besoin (en cas de statut mixte) ses empêchements à effectuer ses travaux ménagers, et/ou d’effectuer une comparaison de ses revenus sans et malgré son invalidité, au surplus sur des bases actualisées au jour où, après avoir repris et complété l’instruction du dossier, l’intimé rendra une nouvelle décision. 9. a Le recours sera ainsi partiellement admis, et la décision attaquée annulée, la cause renvoyée à l’intimé pour instruction complémentaire au sens des considérants, puis nouvelle décision. b. La procédure n'étant pas gratuite, en dérogation à l’art. 61 let. a LPGA (art. 69 al. 1bis phr. 1 LAI), il y a lieu de condamner l’intimé au paiement d'un émolument, arrêté en l’espèce à CHF 300.- (art. 69 al. 1bis phr. 2 in fine LAI). c. La recourante obtenant partiellement gain de cause, une indemnité lui sera accordée à titre de participation à ses frais et dépens, respectivement à l’assistance juridique (art. 61 let. g LPGA ; art. 6 du règlement sur les frais, émoluments et indemnités en matière administrative du 30 juillet 1986 [RFPA - E 5 10.03]), indemnité qui sera arrêtée à CHF 1'500.- compte tenu du fait que le recours est admis partiellement. Le bénéfice de l’assistance juridique n’implique pas qu’une telle indemnité ne doive pas être allouée ; elle est prise en compte par le service de l’assistance juridique, qui en a automatiquement connaissance au moment où il traite l’état de frais que lui adresse le moment venu l’avocat nommé d’office. * * * * * *</w:t>
      </w:r>
    </w:p>
    <w:p>
      <w:r>
        <w:t>A/1038/2013 - 29/29 -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