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ATAS/872/2015 vom 12. November 2015</w:t>
      </w:r>
    </w:p>
    <w:p>
      <w:r>
        <w:t>GE Cour de justice, 2015-11-12, FR</w:t>
      </w:r>
    </w:p>
    <w:p>
      <w:r>
        <w:rPr>
          <w:b/>
        </w:rPr>
        <w:t xml:space="preserve">Quelle: </w:t>
      </w:r>
      <w:r>
        <w:t>https://mcp.opencaselaw.ch/entscheid/ge_gerichte_ATAS_872_2015</w:t>
      </w:r>
    </w:p>
    <w:p>
      <w:r>
        <w:t>FR: GE_GERICHTE ATAS/872/2015 du 12 novembre 2015</w:t>
      </w:r>
    </w:p>
    <w:p>
      <w:r>
        <w:t>IT: GE_GERICHTE ATAS/872/2015 del 12 novembre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la 5ème révision de la LAI et le 1er volet de la 6ème révision de la LAI sont entrées en vigueur respectivement le 1er janvier 2003, le 1er janvier 2008 et le 1er janvier 2012, entraînant de nombreuses modifications légales dans l'assurance- invalidité. La législation en vigueur en cas de changement de règles de droit reste celle qui était en vigueur lors de la réalisation de l'état de fait qui doit être apprécié juridiquement ou qui a des conséquences juridiques, sous réserve de dispositions particulières de droit transitoire (ATF 130 V 445 consid. 1.2.1). En l’espèce, le droit aux prestations doit être examiné à l’aune des dispositions de la LAI en vigueur jusqu’au 31 décembre 2007 pour la période courant jusqu’à cette date, puis en tenant compte des modifications législatives entrées en vigueur respectivement le 1er janvier 2004 et le 1er janvier 2008. Cela étant, la LPGA n’a modifié ni la notion d'invalidité, ni la manière d'évaluer le taux d'invalidité (arrêt du Tribunal fédéral I 229/05 du 3 mai 2006 consid. 1.2). La 5ème révision n'a pas non plus amené de modifications substantielles en matière d'évaluation de l'invalidité (Message concernant la modification de la loi fédérale sur l'assurance-invalidité du 22 juin 2005, FF 2005 4322). En ce qui concerne la procédure, à défaut de règles transitoires contraires, le nouveau droit s'applique sans réserve dès le jour de son entrée en vigueur (ATF 130 V 90 consid. 3.2).</w:t>
      </w:r>
    </w:p>
    <w:p>
      <w:r>
        <w:rPr>
          <w:b/>
        </w:rPr>
        <w:t>E. 3</w:t>
      </w:r>
    </w:p>
    <w:p>
      <w:r>
        <w:t>Interjeté dans les forme et délai prévus par la loi, le recours est recevable (art. 56ss LPGA).</w:t>
      </w:r>
    </w:p>
    <w:p>
      <w:r>
        <w:rPr>
          <w:b/>
        </w:rPr>
        <w:t>E. 4</w:t>
      </w:r>
    </w:p>
    <w:p>
      <w:r>
        <w:t>Dans la procédure juridictionnelle administrative, la décision détermine l'objet de la contestation qui peut être déféré en justice par voie de recours (arrêt du Tribunal fédéral des assurances U 417/05 du 28 septembre 2006 consid. 1.1). Conformément à l'art. 53 al. 3 LPGA, l'assureur peut reconsidérer une décision ou une décision sur opposition contre laquelle un recours a été formé jusqu'à l'envoi de son préavis à l'autorité de recours (reconsidération pendente lite). Cette possibilité constitue une exception au principe de l’effet dévolutif du recours. Pour des motifs d’économie de procédure, il se justifie en effet de permettre à l'administration de</w:t>
      </w:r>
    </w:p>
    <w:p>
      <w:r>
        <w:t>A/3251/2014 - 18/25 - revenir lite pendente sur sa décision, lorsque celle-ci s'avère, à la lecture de l'acte de recours, manifestement erronée (arrêt du Tribunal fédéral 9C_403/2010 du 31 décembre 2010 consid. 3.2). En l’espèce, la décision du 6 novembre 2014 a été rendue avant l’expiration du délai imparti à l’intimé pour le dépôt de sa réponse, si bien que les conditions de la reconsidération pendente lite sont réalisées. Au plan formel, ce sont donc les rapports juridiques tranchés par cette décision qui font l’objet du litige. Cela étant, elle ne diffère de la décision du 25 septembre 2014 que s’agissant de la quotité du montant rétroactif dû à la recourante après la compensation invoquée par CSS Assurance SA, que la recourante ne conteste ni dans sa quotité ni dans son principe. Quant au droit à une rente complémentaire pour S_______, fille de la recourante, il a été admis dans son principe par l’intimé, qui a fixé le montant dû à ce titre à CHF 30'336.-, dont il faut déduire CHF 12'053.40, le solde restant dû à la recourante avec les intérêts moratoires. Ce point n’est donc plus litigieux. Seul reste ainsi à examiner le degré d’invalidité de la recourante.</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A/3251/2014 - 19/25 -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w:t>
      </w:r>
    </w:p>
    <w:p>
      <w:r>
        <w:t>A/3251/2014 - 20/25 -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4.3.1). b)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(arrêt du Tribunal fédéral des assurances I 433/01 du 20 mars 2002 consid. 4c; arrêt du Tribunal fédéral des assurances I 320/01 du 10 décembre 2001 consid. 2a). Tel est notamment le cas lorsque le revenu constitue un salaire social, qui ne correspond pas à la prestation de travail de l'assuré (ATF 117 V 8 consid. 2c/aa). On ne saurait non plus se référer exclusivement au revenus soumis à cotisation en vertu de la loi du 20 décembre 1946 sur l'assurance-vieillesse et survivants (LAVS - RS 831.10). Certes, l'art. 25 al. 1 RAI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 arrêt du Tribunal fédéral des assurances I 881/06 du 9 octobre 2007 consid. 5.4). c) Si l'on ne peut déterminer ou évaluer sûrement le revenu hypothétique sans invalidité et le revenu d'invalide, il faut, en s'inspirant de la méthode spécifique pour non-actifs (art. 8 al. 3 LPGA; art. 27 du règlement du 17 janvier 1961 sur l'assurance-invalidité [RAI -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w:t>
      </w:r>
    </w:p>
    <w:p>
      <w:r>
        <w:t>A/3251/2014 - 21/25 -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w:t>
      </w:r>
    </w:p>
    <w:p>
      <w:r>
        <w:t>T correspond à la part consacrée à chacun des deux champs d'activité de travail en cause par rapport au temps total (T1 + T2 = 100 %) en pour cent, B à l'empêchement dans chacune des activités et s au revenu pour l'activité correspondante.</w:t>
      </w:r>
    </w:p>
    <w:p>
      <w:r>
        <w:rPr>
          <w:b/>
        </w:rPr>
        <w:t>E. 8</w:t>
      </w:r>
    </w:p>
    <w:p>
      <w:r>
        <w:t>En préambule, compte tenu de la nature des troubles de la recourante et de l’accident subi en 2006, il n’est pas inutile de rappeler que la jurisprudence a dégagé au cours de ces dernières années un certain nombre de principes et critères pour permettre d'apprécier le caractère invalidant de certains syndromes somatiques à l'étiologie incertaine, dont le traumatisme du type "coup du lapin" (ATF 136 V 279 consid. 3.2.3). En l’espèce, cependant, malgré la distorsion cervicale subie par la recourante lors de l’accident de 2006, il n’y pas lieu d’appliquer ces critères, puisque les troubles neuropsychologiques dont l’effet invalidant fait l’objet de la présente procédure ne se confondent pas avec le tableau clinique consécutif à un whiplash. En effet, selon les explications de la neuropsychologue, ils sont notamment imputables au virus contracté par la recourante en 1994.</w:t>
      </w:r>
    </w:p>
    <w:p>
      <w:r>
        <w:rPr>
          <w:b/>
        </w:rPr>
        <w:t>E. 9</w:t>
      </w:r>
    </w:p>
    <w:p>
      <w:r>
        <w:t>Au plan médical, il n’est pas contesté que la recourante a été en incapacité de travailler à hauteur de 70% jusqu’au 31 décembre 2008, ce qui lui ouvre droit à une rente entière d’invalidité. C’est sa capacité de travail dès le 1er janvier 2009 qu’il convient d’examiner ici. La Cour ne saurait se rallier à l’évaluation de la capacité de travail ressortant de l’expertise des Drs F_______ et G_______ et de Madame H_______. En effet, aux carences déjà relevées par le Dr E_______ s’ajoute le fait que les experts ont</w:t>
      </w:r>
    </w:p>
    <w:p>
      <w:r>
        <w:t>A/3251/2014 - 22/25 - accepté de modifier leurs conclusions à la demande de l’assurance - ce qui est de nature à éveiller de sérieux doutes sur leur impartialité -, mais également le fait que le Dr G_______ a par la suite écarté l’appréciation de la neuropsychologue, alléguant que seule celle du neurologue devait être retenue ; ce faisant, le psychiatre s’est prononcé sur des aspects ne relevant pas de son domaine de compétence, sans même consulter le Dr F_______ et Madame H_______. Madame N_______ a indiqué que l’incapacité de travail au plan strictement neuropsychologique pouvait être fixée à 50% en tant que médecin-vétérinaire. Elle a pris cette conclusion à l’issue d’un examen neuropsychologique détaillé, réalisé en pleine connaissance du dossier et de l’anamnèse de la recourante, dont elle a également entendu les plaintes. Au vu de ces éléments, on peut reconnaître une pleine valeur probante à cette expertise neuropsychologique et admettre que la recourante présente désormais une capacité de travail de 50%. L’intéressée le conteste, arguant que la neuropsychologue aurait mentionné une capacité de travail limitée à deux heures le matin. Cet argument tombe cependant à faux. En effet, si l’experte a bien signalé une activité de deux heures le matin, c’est au chapitre consacré aux déclarations de la recourante. Cette durée de deux heures ne correspond donc pas à l’activité exigible mais à celle concrètement exercée par la recourante. Cette dernière se prévaut encore des rapports établis par les Drs E_______, K_______ et B_______ en novembre 2007, août 2007 et juillet 2008, qui évaluaient sa capacité de travail à 70%. Cependant, dès lors que ces rapports ont été établis à une période pour laquelle l’incapacité de travail de 70% n’est pas contestée, ils ne lui sont d’aucun secours. Quant à la portée des indications de la fiduciaire mandatée par la recourante, il suffit de rappeler que l’incapacité de travail est une notion médicale (arrêt du Tribunal fédéral 9C_775/2008 du 15 septembre 2009 consid. 4.3). Partant, il est exclu de l’évaluer en se fondant sur des documents comptables. On notera enfin que, selon l’enquête pour indépendant réalisée en janvier 2012, la recourante a indiqué travailler 4 heures par jour, ce qui correspond effectivement à une capacité de travail de 50%. L’intimé fait remonter l’augmentation de la capacité de travail de la recourante à janvier 2009. Il est vrai que la neuropsychologue n’indique pas avec précision depuis quand une capacité de travail de 50% peut être admise. On peut néanmoins se rallier à l’analyse de l’intimé sur ce point. En effet, le Dr B_______ indiquait, dans son rapport de septembre 2008, qu’une augmentation du temps de travail à 50% serait exigible dès janvier 2009. La fin du travail réalisé avec la neuropsychologue, annoncée par ce médecin, est d’ailleurs un indice d’une certaine amélioration. Certes, en mars 2009, le Dr B_______ a qualifié la situation de stable ; il entendait manifestement par là que l’évolution se poursuivait conformément au pronostic émis par le neurologue en septembre 2008. On peut en</w:t>
      </w:r>
    </w:p>
    <w:p>
      <w:r>
        <w:t>A/3251/2014 - 23/25 - effet admettre que si des éléments nouveaux avaient entravé les progrès escomptés, le Dr B_______ les aurait mentionnés et serait revenu sur son appréciation prospective. Partant, retenir que la recourante a recouvré une capacité de travail de 50% dès le 1er janvier 2009 ne prête pas flanc à la critique. En particulier, les rapports établis en mai 2009 et en juillet 2012 par le Dr E_______ ne permettent pas de parvenir à une autre appréciation, dès lors qu’ils ne sont guère motivés et n’émanent pas d’un spécialiste en neurologie.</w:t>
      </w:r>
    </w:p>
    <w:p>
      <w:r>
        <w:rPr>
          <w:b/>
        </w:rPr>
        <w:t>E. 10</w:t>
      </w:r>
    </w:p>
    <w:p>
      <w:r>
        <w:t>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2ème éd., Zurich 2009, n. 72 ad art. 61). En l’espèce, la recourante a requis l’audition des Drs E_______ et B_______ et de Madame N_______. Cependant, eu égard à ce qui précède, la chambre de céans s’estime suffisamment renseignée, de sorte qu’elle ne donnera pas suite à cette requête.</w:t>
      </w:r>
    </w:p>
    <w:p>
      <w:r>
        <w:rPr>
          <w:b/>
        </w:rPr>
        <w:t>E. 11</w:t>
      </w:r>
    </w:p>
    <w:p>
      <w:r>
        <w:t>S’agissant de la réduction des prestations, la chambre de céans rappelle ce qui suit. L’intimé a réduit le droit aux prestations de la recourante à une demi-rente dès le 1er janvier 2009, date de l’amélioration de la capacité de travail. Or,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du règlement sur l’assurance-invalidité (RAI – RS 831.201). Selon l’alinéa premier de cette disposition réglementaire,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En application de cette disposition, l’augmentation de la capacité de travail de la recourante ne donne lieu à une réduction des prestations que trois mois après sa survenance, soit dès le 1er avril 2009. Ce n’est donc qu’à compter de cette date que</w:t>
      </w:r>
    </w:p>
    <w:p>
      <w:r>
        <w:t>A/3251/2014 - 24/25 - la rente entière peut être remplacée par une demi-rente. En ce sens, le recours est partiellement admis. La recourante, qui obtient très partiellement gain de cause, a droit à des dépens qu’il convient de fixer à CHF 2'500.- (art. 61 let. g LPGA). La procédure en matière d’assurance-invalidité n'étant pas gratuite, l’intimé supporte l’émolument de CHF 200.- (art. 69 al. 1bis LAI).</w:t>
      </w:r>
    </w:p>
    <w:p>
      <w:r>
        <w:t>A/3251/2014 - 25/25 -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