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ATAS/870/2017 vom 5. Oktober 2017</w:t>
      </w:r>
    </w:p>
    <w:p>
      <w:r>
        <w:t>GE Cour de justice, 2017-10-05, FR</w:t>
      </w:r>
    </w:p>
    <w:p>
      <w:r>
        <w:rPr>
          <w:b/>
        </w:rPr>
        <w:t xml:space="preserve">Quelle: </w:t>
      </w:r>
      <w:r>
        <w:t>https://mcp.opencaselaw.ch/entscheid/ge_gerichte_ATAS_870_2017</w:t>
      </w:r>
    </w:p>
    <w:p>
      <w:r>
        <w:t>FR: GE_GERICHTE ATAS/870/2017 du 5 octobre 2017</w:t>
      </w:r>
    </w:p>
    <w:p>
      <w:r>
        <w:t>IT: GE_GERICHTE ATAS/870/2017 del 5 ottobre 2017</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Selon l’art. 1 chiffre 1 GO, le but de cette assurance est de fournir aux assurés des prestations spécifiques en complément à l’assurance obligatoire des soins (AOS) selon la LAMal. Selon l’art. 5 chiffre 1 rubrique hospitalisation GO, le niveau 1 et 2 correspond à la division commune et le niveau 3 à la division mi-privée ou privée ; la rubrique description prévoit ce qui suit : - Libre choix en Suisse selon le niveau choisi, d’un établissement hospitalier en soins généraux ou psychiatriques, pour les maladies de type aigu. - Prise en charge des coûts des traitements reconnus par la LAMal, des frais hôteliers à l’hôpital et des honoraires des médecins, selon la convention passée avec l’assureur ou la réglementation tarifaire cantonale. - Les établissements doivent être reconnus au sens de la LAMal (hôpitaux répertoriées) ou avoir conclu une convention tarifaire avec Mutuel assurances SA pour les divisions correspondantes.</w:t>
      </w:r>
    </w:p>
    <w:p>
      <w:r>
        <w:t>A/368/2017 - 7/8 - - Les prestations d’hospitalisation dans un établissement psychiatrique ne sont plus versées après 180 jours en cours d’une année civile. - Après 180 jours d’hospitalisation en division mi-privée ou privée en cours d’une année civile, les prestations d’hospitalisation ne sont plus versées. - Les prestations d’hospitalisation dans un établissement psychiatrique sont imputées sur les prestations d’hospitalisation en division mi-privée ou privée. - L’assuré est tenu de se renseigner si l’établissement, la division d’établissement ou la clinique où il se fera soigner fait partie des établissements reconnus par l’assureur.</w:t>
      </w:r>
    </w:p>
    <w:p>
      <w:r>
        <w:rPr>
          <w:b/>
        </w:rPr>
        <w:t>E. 3</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 (art. 10 al. 1 let. a/b CPC), étant précisé que l’art. 17 al. 1 CPC consacre la possibilité d’une élection de for écrite. En l’occurrence, l’art. 41.2 CGC prévoit, en cas de contestation, que le preneur d’assurance ou l’ayant droit peut choisir soit les tribunaux de son domicile Suisse soit ceux du siège de l’assureur. Le demandeur ayant son domicile à Genève, la chambre de céans est compétente à raison du lieu pour connaître de la présente demande.</w:t>
      </w:r>
    </w:p>
    <w:p>
      <w:r>
        <w:rPr>
          <w:b/>
        </w:rPr>
        <w:t>E. 4</w:t>
      </w:r>
    </w:p>
    <w:p>
      <w:r>
        <w:t>Selon l’art. 126 CPC, le tribunal peut ordonner la suspension de la procédure si des motifs d'opportunité le commandent. La procédure peut notamment être suspendue lorsque la décision dépend du sort d'un autre procès (al. 1). L'ordonnance de suspension peut faire l'objet d'un recours (al. 2).</w:t>
      </w:r>
    </w:p>
    <w:p>
      <w:r>
        <w:rPr>
          <w:b/>
        </w:rPr>
        <w:t>E. 5</w:t>
      </w:r>
    </w:p>
    <w:p>
      <w:r>
        <w:t>En l’espèce, les parties ont convenu de suspendre la présente procédure, dans l’attente de l’issue de la procédure par devant l’assureur-maladie, qui traite de la LAMal. Il convient en conséquence de prononcer la suspension de la présente cause, dans l’attente de l’issue de la procédure LAMal opposant le demandeur à la Mutuelle Assurances Maladie SA.</w:t>
      </w:r>
    </w:p>
    <w:p>
      <w:r>
        <w:t>A/368/2017 - 8/8 - PAR CES MOTIFS, LA CHAMBRE DES ASSURANCES SOCIALES : Statuant préparatoirement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