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ATAS/870/2016 vom 20. Oktober 2016</w:t>
      </w:r>
    </w:p>
    <w:p>
      <w:r>
        <w:t>GE Cour de justice, 2016-10-20, FR</w:t>
      </w:r>
    </w:p>
    <w:p>
      <w:r>
        <w:rPr>
          <w:b/>
        </w:rPr>
        <w:t xml:space="preserve">Quelle: </w:t>
      </w:r>
      <w:r>
        <w:t>https://mcp.opencaselaw.ch/entscheid/ge_gerichte_ATAS_870_2016</w:t>
      </w:r>
    </w:p>
    <w:p>
      <w:r>
        <w:t>FR: GE_GERICHTE ATAS/870/2016 du 20 octobre 2016</w:t>
      </w:r>
    </w:p>
    <w:p>
      <w:r>
        <w:t>IT: GE_GERICHTE ATAS/870/2016 del 20 ottobre 2016</w:t>
      </w:r>
    </w:p>
    <w:p>
      <w:pPr>
        <w:pStyle w:val="Heading2"/>
      </w:pPr>
      <w:r>
        <w:t>Regeste</w:t>
      </w:r>
    </w:p>
    <w:p>
      <w:r>
        <w:t>Résumé: Du point de vue des prestations complémentaires, le droit d'habitation et l'usufruit en faveur d'un tiers ont des effets analogues sur la faculté du propriétaire de disposer librement de son bien et, partant, d'affecter cet élément de fortune à la couverture de ses besoins courants. Par conséquent, la valeur vénale de l'immeuble de l'assuré faisant l'objet d'un droit d'habitation en faveur de son ex-conjointe ne doit pas être prise en considération à titre de fortune transformée en revenu au sens de l'art. 11 al. 1 let. c LPC.</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38 al. 4 let. a et art. 56ss LPGA).</w:t>
      </w:r>
    </w:p>
    <w:p>
      <w:r>
        <w:t>A/1385/2016 - 6/11 -</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Dans la procédure juridictionnelle administrative, la décision détermine l'objet de la contestation qui peut être déféré en justice par voie de recours (arrêt du Tribunal fédéral des assurances U 417/05 du 28 septembre 2006 consid. 1.1). Le litige porte sur le droit aux prestations complémentaires dès le 1er février 2016, eu égard à la décision du 21 janvier 2016 confirmée le 21 mars 2016 sur opposition qui fait l’objet du recours, plus particulièrement sur le montant retenu à titre de fortune immobilière.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6</w:t>
      </w:r>
    </w:p>
    <w:p>
      <w:r>
        <w:t>Au niveau fédéral, les revenus déterminants comprennent, notamment, le produit de la fortune mobilière et immobilière (art. 11 al. 1 let. b LPC), un quinzième de la fortune nette, un dixième pour les bénéficiaires de rentes de vieillesse, dans la mesure où elle dépasse 37 500 francs pour les personnes seules (art. 11 al. 1 let. c LPC dans sa teneur en force depuis le 1er janvier 2011), les rentes, pensions et autres prestations périodiques, y compris les rentes de l’AVS et de l’AI (art. 11 al. 1 let. d LPC), et les ressources et parts de fortune dont un ayant droit s’est dessaisi (art. 11 al. 1 let. g LPC). Sur le plan cantonal, la LPCC renvoie à la réglementation fédérale pour le calcul du revenu déterminant et des dépenses, sous réserve de certaines adaptations. Ainsi, l’art. 5 let. c LPCC prévoit qu’en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(ch. 1), du montant des indemnités en capital obtenues à titre</w:t>
      </w:r>
    </w:p>
    <w:p>
      <w:r>
        <w:t>A/1385/2016 - 7/11 - de dommages et intérêts en réparation d'un préjudice corporel, y compris l'indemnisation éventuelle du tort moral (ch. 2).</w:t>
      </w:r>
    </w:p>
    <w:p>
      <w:r>
        <w:rPr>
          <w:b/>
        </w:rPr>
        <w:t>E. 7</w:t>
      </w:r>
    </w:p>
    <w:p>
      <w:r>
        <w:t>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1ère phrase OPC-AVS/AI dispose que la déduction forfaitaire prévue pour l'impôt cantonal direct dans le canton de domicile s'applique aux frais d'entretien des bâtiments. A Genève, le règlement d'application de la loi sur l'imposition des personnes physiques (RIPP -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LIPP, est la suivante : 10 %, si l’âge du bâtiment au début de la période fiscale est inférieur ou égal à 10 ans (let. a); 20 %, si l’âge du bâtiment au début de la période fiscale est supérieur à 10 ans (let. b).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 Il y a lieu de déduire de ce revenu hypothétique les frais d’entretien forfaitaires et les intérêts hypothécaires (Erwin CARIGIET / Uwe KOCH, Ergänzungsleistungen zur AHV/IV, 2ème éd. 2009, p. 172).</w:t>
      </w:r>
    </w:p>
    <w:p>
      <w:r>
        <w:rPr>
          <w:b/>
        </w:rPr>
        <w:t>E. 8</w:t>
      </w:r>
    </w:p>
    <w:p>
      <w:r>
        <w:t>Les prestations complémentaires ont pour but de garantir la couverture des besoins vitaux des personnes qui, malgré les prestations de l’AVS ou de l’assurance- 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w:t>
      </w:r>
    </w:p>
    <w:p>
      <w:r>
        <w:t>A/1385/2016 - 8/11 - complémentaires à l'AVS et à l'AI, 2015, p. 142, n° 42 ad art. 11). Pour l’assuré au bénéfice d’une rente d’invalidité, cette transformation s’opère en tenant compte à titre de revenu du quinzième de la fortune nette après déduction de la franchise prévue à l’art. 11 al. 1 let. c LPC.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 Ces principes ont donné lieu à la jurisprudence suivante en matière d’usufruit. Le Tribunal fédéral a relevé que l’usufruitier peut user et jouir de la chose mais qu’il ne peut en disposer, et que partant, un élément patrimonial grevé d’usufruit ne peut être considéré comme fortune. Cette conclusion est également valable pour le nu- propriétaire, qui ne peut se voir imputer son immeuble à titre de fortune. Une pratique contraire aurait pour résultat qu’un revenu serait admis par le biais de la fortune transformée, alors même que le nu-propriétaire ne peut disposer de son immeuble au vu des droits de l’usufruitier (ATF 122 V 394 consid. 6a). Cette jurisprudence a été reprise par une partie de la doctrine (VALTERIO, op. cit., pp. 144-145, n° 45 ad art. 11 ; CARIGIET / KOCH, op. cit. p. 163). Elle se heurte en revanche à une critique de JÖHL et USINGER-EGGER, qui considèrent que le fait qu’un usufruit grève un bien immobilier n’en exclut ni la vente ni la mise en gage, et qu’on ne peut partir du principe qu’il est impossible de trouver un acquéreur pour un immeuble grevé d’un usufruit. Selon ces auteurs, le propriétaire d’un immeuble grevé d’un usufruit doit se voir imputer une fortune transformée en revenu, dont le montant sera toutefois sensiblement inférieur à la valeur qu’aurait l’immeuble sans usufruit (JÖHL / USINGER-EGGER, op. cit., note de bas de page 683 p. 1843). Certains auteurs étendent l’application de la jurisprudence en matière d’usufruit aux immeubles grevés d’un droit d’habitation (VALTERIO, op. cit., pp. 144-145, n° 45 ad art. 11 ; Urs MÜLLER, Rechtsprechung des Bundesgerichts zum ELG, 3ème éd. 2015, p. 129 n. 333 ad art.11 ELG), à l’instar de la pratique administrative, selon laquelle les immeubles qui appartiennent au bénéficiaire mais qui sont grevés d’un droit d’habitation qui s’étend sur tout l’immeuble ne sont pas pris en considération comme composantes de la fortune (Directives concernant les</w:t>
      </w:r>
    </w:p>
    <w:p>
      <w:r>
        <w:t>A/1385/2016 - 9/11 - prestations complémentaires à l’AVS et à l’AI [DPC] valables dès le 1er avril 2011 dans leur version au 1er janvier 2016, ch. 3443.06).</w:t>
      </w:r>
    </w:p>
    <w:p>
      <w:r>
        <w:rPr>
          <w:b/>
        </w:rPr>
        <w:t>E. 9</w:t>
      </w:r>
    </w:p>
    <w:p>
      <w:r>
        <w:t>En l’espèce, l’intimé a notamment retenu à titre de fortune de biens immobiliers de EUR 55'900.- et de EUR 11'005.01 dans sa décision litigieuse. Ce faisant, il apparaît avoir tenu compte deux fois de la maison de Tomar, les montants précités correspondant à la valeur de cette habitation réévaluée à 7 ans d’intervalle selon les extraits du Caderneta predial urbana. De plus, il est établi que la maison du recourant est habitée par son ex-épouse. Sur ce point, il convient de rappeler que lorsque l’obligation d’entretien a été fixée par le juge civil, les organes des assurances sociales sont liés et ne peuvent statuer de manière autonome sur ce point, entré en force de chose jugée (ATF 120 V 442 consid. 3b et les références). En revanche, les organes d’exécution de la loi doivent vérifier le caractère adéquat des contributions alimentaires fixées par convention, en se fondant sur les critères de droit civil, pour examiner si un éventuel dessaisissement doit être retenu eu égard au fait que la contribution est trop élevée par rapport aux capacités financières du bénéficiaire (JÖHL / USINGER-EGGER, op. cit. p. 1795 n. 113). En l’espèce, l’intimé n’allègue pas que le recourant aurait consenti une contribution alimentaire trop importante à son ex-épouse en lui concédant un droit d’habitation sur la maison familiale. On se trouve ainsi dans un des cas visés par la doctrine et la pratique administrative précitées, soit celui où un droit d’habitation – dont l’octroi ne relève pas d’un dessaisissement – porte sur l’ensemble du bien immobilier. Il n’existe aucun motif de s’écarter de la doctrine majoritaire et de la pratique administrative, qui assimilent ce cas de figure à celui d’un usufruit frappant un immeuble dans son entier. En effet, ces deux servitudes personnelles présentent des similitudes, et les règles concernant l’usufruit sont applicables au droit d’habitation, sauf disposition contraire de la loi (art. 776 du code civil [CC – RS 210]). Du point de vue des prestations complémentaires, le droit d’habitation et l’usufruit en faveur d’un tiers ont des effets analogues sur la faculté du propriétaire de disposer librement de son bien et, partant, d’affecter cet élément de fortune à la couverture de ses besoins courants. Il se justifie donc d’appliquer par analogie la jurisprudence citée relative aux immeubles frappés d’un usufruit à ceux qui font l’objet d’un droit d’habitation. Partant, contrairement à ce qu’affirme l’intimé, l’existence d’un droit d’habitation en faveur d’un tiers ne doit pas se traduire uniquement par la non-prise en compte dans les revenus déterminants des loyers que l’assuré propriétaire du bien pourrait en tirer si son immeuble n’était pas grevé d’une telle servitude, mais implique également de renoncer à tenir compte de la valeur de l’immeuble à titre de fortune transformée en revenu. Il n’y a pas lieu de tenir compte dans la fortune de la maison sur laquelle l’épouse du recourant bénéficie d’un droit d’habitation.</w:t>
      </w:r>
    </w:p>
    <w:p>
      <w:r>
        <w:t>A/1385/2016 - 10/11 -</w:t>
      </w:r>
    </w:p>
    <w:p>
      <w:r>
        <w:rPr>
          <w:b/>
        </w:rPr>
        <w:t>E. 10</w:t>
      </w:r>
    </w:p>
    <w:p>
      <w:r>
        <w:t>Eu égard à ce qui précède, le recours sera admis, la décision de l’intimé annulée et la cause renvoyée à ce dernier pour calcul des prestations complémentaires au sens des considérants. Le recourant, qui obtient gain de cause, a droit à des dépens qui seront fixés en l’espèce à CHF 2'000.- (art. 61 let. g LPGA). Pour le surplus, la procédure est gratuite (art. 61 let. a LPGA et art. 89H al. 1 LPA).</w:t>
      </w:r>
    </w:p>
    <w:p>
      <w:r>
        <w:t>A/1385/2016 - 11/11 -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