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ATAS/86/2026 vom 5. Februar 2026</w:t>
      </w:r>
    </w:p>
    <w:p>
      <w:r>
        <w:t>GE Cour de justice, 2026-02-05, FR</w:t>
      </w:r>
    </w:p>
    <w:p>
      <w:r>
        <w:rPr>
          <w:b/>
        </w:rPr>
        <w:t xml:space="preserve">Quelle: </w:t>
      </w:r>
      <w:r>
        <w:t>https://mcp.opencaselaw.ch/entscheid/ge_gerichte_ATAS_86_2026</w:t>
      </w:r>
    </w:p>
    <w:p>
      <w:r>
        <w:t>FR: GE_GERICHTE ATAS/86/2026 du 5 février 2026</w:t>
      </w:r>
    </w:p>
    <w:p>
      <w:r>
        <w:t>IT: GE_GERICHTE ATAS/86/2026 del 5 febbraio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La LPGA, entrée en vigueur le 1er janvier 2003, est applicable au cas d'espèce. 2. Il s'agit en l'occurrence d'examiner la recevabilité du recours au regard du respect du délai. 2.1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w:t>
      </w:r>
    </w:p>
    <w:p>
      <w:r>
        <w:t>- 4/7-</w:t>
      </w:r>
    </w:p>
    <w:p>
      <w:r>
        <w:t>A/4088/2025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2.2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André GRISEL, Traité de droit administratif, p. 876 et la jurisprudence citée ;</w:t>
      </w:r>
    </w:p>
    <w:p>
      <w:r>
        <w:t>- 5/7-</w:t>
      </w:r>
    </w:p>
    <w:p>
      <w:r>
        <w:t>A/4088/2025 Blaise KNAPP, Précis de droit administratif, 4ème éd., n° 704 p. 153; Alfred KÖLZ/Isabelle 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2.3 Le recours adressé à une autorité incompétente est transmis d'office à la juridiction administrative compétente et le recourant en est averti. L'acte est réputé déposé à la date à laquelle il a été adressé à la première autorité (art. 64 al. 2 LPA en lien avec l'art. 89A LPA). 3.</w:t>
      </w:r>
    </w:p>
    <w:p>
      <w:r>
        <w:t>3.1 En l’espèce, la décision de la SUVA a été envoyée par courrier « A-Post Plus » et distribuée à l’intéressée en date du 14 octobre 2025, comme cela ressort du « Sendungstatus » de Post CH SA. Le premier jour du délai de recours est le 15 octobre et le dernier jour est le 13 novembre 2025. À teneur de l’enveloppe contenant l’acte de recours et du tampon postal qui y est apposé le courrier recommandé du 13 novembre, contenant la demande de réexamen adressée à la SUVA, a été posté le 14 novembre 2025, étant rappelé que l'acte est réputé déposé à la date à laquelle il a été adressé à la première autorité. Il ressort de ce qui précède que le recours a été posté un jour après l’expiration du délai de recours. 3.2 Reste à examiner si une restitution de délai peut être accordée. Tel peut être le cas, de manière exceptionnelle, à condition que le requérant ait été empêché, sans sa faute, d’agir dans le délai fixé (art. 41 LPGA ou art. 16 al. 3 LPA) et pour autant qu’une demande de restitution motivée, indiquant la nature de l’empêchement, soit présentée dans les 30 jours (LPGA) ou 10 jours (LPA) à compter de celui où il a cessé. Il s’agit-là de dispositions impératives auxquelles il ne peut être dérogé (Jurisprudence des autorités administratives de la Confédération [JAAC] 60/1996, consid. 5.4, p. 367 ; ATF 119 II 86 consid. 2a ; 112 V 255 consid. 2a). En l'occurrence, la recourante n’a pas donné suite à l’invitation de la chambre de céans de fournir une éventuelle justification pour n’avoir pas respecté le délai de recours.</w:t>
      </w:r>
    </w:p>
    <w:p>
      <w:r>
        <w:t>- 6/7-</w:t>
      </w:r>
    </w:p>
    <w:p>
      <w:r>
        <w:t>A/4088/2025 4. 4.1 Le recours est tardif et aucun motif de restitution du délai n’a été invoqué ; partant il doit être déclaré irrecevable pour cause de tardiveté. 4.2 Pour le surplus, la procédure est gratuite.</w:t>
      </w:r>
    </w:p>
    <w:p>
      <w:r>
        <w:t>- 7/7-</w:t>
      </w:r>
    </w:p>
    <w:p>
      <w:r>
        <w:t>A/4088/2025 PAR CES MOTIFS, LA CHAMBRE DES ASSURANCES SOCIALES : Statuant À la forme :</w:t>
      </w:r>
    </w:p>
    <w:p>
      <w:r>
        <w:rPr>
          <w:b/>
        </w:rPr>
        <w:t>E. 6</w:t>
      </w:r>
    </w:p>
    <w:p>
      <w:r>
        <w:t>octobre 2000 (LPGA - RS 830.1) relatives à la loi fédérale sur l'assurance-accidents du 20 mars 1981 (LAA - RS 832.20).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