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ATAS/86/2020 vom 5. Februar 2020</w:t>
      </w:r>
    </w:p>
    <w:p>
      <w:r>
        <w:t>GE Cour de justice, 2020-02-05, FR</w:t>
      </w:r>
    </w:p>
    <w:p>
      <w:r>
        <w:rPr>
          <w:b/>
        </w:rPr>
        <w:t xml:space="preserve">Quelle: </w:t>
      </w:r>
      <w:r>
        <w:t>https://mcp.opencaselaw.ch/entscheid/ge_gerichte_ATAS_86_2020</w:t>
      </w:r>
    </w:p>
    <w:p>
      <w:r>
        <w:t>FR: GE_GERICHTE ATAS/86/2020 du 5 février 2020</w:t>
      </w:r>
    </w:p>
    <w:p>
      <w:r>
        <w:t>IT: GE_GERICHTE ATAS/86/2020 del 5 febbraio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bien-fondé de la décision de reprise des cotisations sociales adressée au recourant sur les honoraires qu’il a touchés de 2014 à 2016 de la société.</w:t>
      </w:r>
    </w:p>
    <w:p>
      <w:r>
        <w:rPr>
          <w:b/>
        </w:rPr>
        <w:t>E. 4</w:t>
      </w:r>
    </w:p>
    <w:p>
      <w:r>
        <w:t>Selon l’art. 1a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 ni une</w:t>
      </w:r>
    </w:p>
    <w:p>
      <w:r>
        <w:t>A/1632/2019 - 9/16 -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Selon l’art. 7 let. h RAVS, le salaire déterminant pour le calcul des cotisations comprend notamment les tantièmes, les indemnités fixes et les jetons de présence des membres de l’administration et des organes dirigeants des personnes morales. Selon la jurisprudence, le point de savoir si l'on a affaire, dans un cas donné, à une activité indépendante ou salariée ne doit pas être tranché d'après la nature juridique du rapport contractuel entre les partenaires. Ce qui est déterminant, ce sont les circonstances économiques. Les rapports de droit civil peuvent fournir éventuellement quelques indices pour la qualification en matière d'AVS, mais ils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cf. ég. P.-Y. GREBER/ J.-L. DUC/ G. SCARTAZZINI, Commentaire des art. 1 à 16 de la loi fédérale sur l'assurance-vieillesse et survivants [LAVS], 1997, ch. 94 ad art. 4 LAVS et les références sous note n° 151). Il n’existe toutefois aucune présomption juridique en faveur de l’activité salariée ou indépendante (cf. DSD ch. 1020).</w:t>
      </w:r>
    </w:p>
    <w:p>
      <w:r>
        <w:t>A/1632/2019 - 10/16 -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l’intéressé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On part de l’idée qu’il y a activité dépendante quand des caractéristiques typiques du contrat de travail existent, c’est-à-dire quand l’intéressé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Il est tout à fait courant à notre époque que des personnes ou organisations spécialisées dans un domaine technique ou commercial particulier se mettent à la disposition d’une entreprise – de manière individuelle ou en commun avec d’autres – en tant que conseiller, pour un temps déterminé ou indéterminé et dans le cadre d’un rapport de mandat indépendant (GREBER/DUC/SCARTAZZINI op. cit.,</w:t>
      </w:r>
    </w:p>
    <w:p>
      <w:r>
        <w:t>A/1632/2019 - 11/16 - n. 138 ad art. 5 LAVS). À cet égard, le Tribunal fédéral a estimé qu’un contrat stipulé en tant que « contrat pour une mission de conseiller » ne devait pas être qualifié de contrat individuel de travail, mais de mandat. La personne chargée de l’exécuter avait d’ailleurs été expressément désignée comme « expert indépendant ». Cela permettait de conclure que les éléments d’une activité indépendante étaient en l’occurrence prédominants. Il était en outre établi que l’intéressé avait effectivement pu exercer sa fonction de conseiller à titre indépendant, sans être intégré dans l’administration de l’entreprise ni être soumis à des instructions particulières de la part de celle-ci. De plus, une dépendance quant à l’organisation du travail, une des caractéristiques principales de l’activité dépendante, n’existait pas en l’espèce. D’autre part, la dépendance économique se limitait au fait que l’intéressé devait, durant le rapport contractuel, exercer son activité pour l’entreprise en question exclusivement, ce qui, en tant qu’élément isolé, n’était pas déterminant (ATF 110 V 72 consid. 4b). Lorsqu’un assuré exerce simultanément plusieurs activités, on se demandera, à propos de chacun des revenus touchés, s’il provient d’une activité indépendante ou d’une activité salariée. Il est parfaitement possible qu’un assuré travaille en même temps pour une entreprise en qualité de salarié et pour une autre comme indépendant. Par conséquent, il se peut aussi que l’intéressé travaille pour la même entreprise, mais dans des secteurs différents, comme salarié et comme indépendant. On ne considère donc pas le caractère prédominant de l’activité dans son ensemble. Une telle manière de qualifier celle-ci n’est pas prévue par la loi, et n’est pas non plus nécessaire pour des raisons pratiques. Il faut, bien plutôt, examiner séparément les diverses activités, et les cotisations en cause seront perçues d’après la qualification de ces activités (RCC 1979 p. 149 consid. 3b). Sont toutefois réservés les aspects relatifs à la coordination dans le cas de personnes exerçant la même activité lucrative pour différents employeurs ou mandants ou exerçant différentes activités lucratives pour le même employeur ou le même mandant. Dans ces situations, il y a lieu d’éviter autant que possible que ces activités soient qualifiées de manière différente, c’est-à-dire en partie comme une activité salariée et en partie comme une activité indépendante (arrêt du Tribunal fédéral H 194/05 du 19 mars 2007 consid. 7.4 ; Michel VALTERIO, Droit de l’assurance-vieillesse et survivants (AVS) et de l’assurance-invalidité (AI), Commentaire thématique, p. 96 n. 297). Lorsque des honoraires sont versés par une société anonyme à un membre du conseil d'administration, il est présumé qu'ils lui sont versés en sa qualité d'organe d'une personne morale et ils doivent être, par conséquent, considérés comme salaire déterminant (RCC 1983 p. 22 consid. 2; GREBER/DUC/SCARTAZZINI, op. cit., n. 40 ad art. 5). C'est le cas même si les indemnités sont proportionnelles à l'activité et à l'état des affaires (RCC 1952 p. 272). Il est toutefois possible de renverser la présomption en établissant que les honoraires versés sont payées pour l'exécution d'une tâche que l'administrateur aurait assumée même sans être membre du conseil</w:t>
      </w:r>
    </w:p>
    <w:p>
      <w:r>
        <w:t>A/1632/2019 - 12/16 - d'administration (ATF 105 V 114 s. consid. 3; RCC 1953 p. 442 ss; arrêt du Tribunal fédéral des assurances H 125/04 du 7 mars 2005 consid. 7.1).</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w:t>
      </w:r>
    </w:p>
    <w:p>
      <w:r>
        <w:rPr>
          <w:b/>
        </w:rPr>
        <w:t>E. 6</w:t>
      </w:r>
    </w:p>
    <w:p>
      <w:r>
        <w:t>Aux termes de l'art. 43 al. 1 phr. 1 LPGA, l'assureur examine les demandes, prend d'office les mesures d'instruction nécessaires et recueille les renseignements dont il a besoin.</w:t>
      </w:r>
    </w:p>
    <w:p>
      <w:r>
        <w:t>Le principe de l’instruction d’office applicable en assurances sociales n’est cependant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arrêt du Tribunal fédéral 9C_632/2012 du 10 janvier 2013 consid. 6.2.1).</w:t>
      </w:r>
    </w:p>
    <w:p>
      <w:r>
        <w:t>La loi genevoise du 12 septembre 1985 sur la procédure administrative (LPA), qui s’applique à la prise de décision par la chambre des assurances sociales de la Cour de justice (art. 1 en liaison avec l’art. 6 al. 1 let. d LPA), contient des dispositions en ce qui concerne la coopération des parties et le droit d’être entendu. Selon l’art. 22 LPA, les parties sont tenues de collaborer à la constatation des faits dans les procédures qu’elles introduisent elles-mêmes, dans celles où elles y prennent des conclusions indépendantes ainsi que dans les autres cas prévus par la loi.</w:t>
      </w:r>
    </w:p>
    <w:p>
      <w:r>
        <w:t>Selon l’art. 13 al. 1 LLCA,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w:t>
      </w:r>
    </w:p>
    <w:p>
      <w:r>
        <w:t>Selon l’art. 321 CP,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seront, sur plainte, punis d’une peine privative de liberté de trois ans au</w:t>
      </w:r>
    </w:p>
    <w:p>
      <w:r>
        <w:t>A/1632/2019 - 13/16 - plus ou d’une peine pécuniaire. Seront punis de la même peine les étudiants qui auront révélé un secret dont ils avaient eu connaissance à l’occasion de leurs études. La révélation demeure punissable alors même que le détenteur du secret n’exerce plus sa profession ou qu’il a achevé ses études (al. 1). La révélation ne sera pas punissable si elle a été faite avec le consentement de l’intéressé ou si, sur la proposition du détenteur du secret, l’autorité supérieure ou l’autorité de surveillance l’a autorisée par écrit (al. 2). Demeurent réservées les dispositions de la législation fédérale et cantonale statuant un droit d’aviser une autorité et de collaborer, une obligation de renseigner une autorité ou une obligation de témoigner en justice (al. 3).</w:t>
      </w:r>
    </w:p>
    <w:p>
      <w:r>
        <w:rPr>
          <w:b/>
        </w:rPr>
        <w:t>E. 7</w:t>
      </w:r>
    </w:p>
    <w:p>
      <w:r>
        <w:t>En l’espèce, il ressort des pièces du dossier et de l’audition du recourant que lors de la période en cause, soit de janvier 2014 à décembre 2016, celui-ci exerçait principalement une activité indépendante d’avocat. Il était également administrateur de la société, un bureau d’architecte exploité par son père. Le recourant fait valoir qu’il avait essentiellement pour la société une activité de conseil juridique en matière immobilière, qui relevait de son activité d’avocat et non d’une activité salariée pour son père. Il ne travaillait pas dans les locaux de la société et il n’y avait pas de lien de subordination entre son père et lui dans son activité de conseil. Dans la mesure où le recourant était formellement administrateur de la société et qu’il touchait des honoraires mensuels de celle-ci, à hauteur de CHF 3'703.70, pendant toute la période en cause, soit trois ans, il est présumé, selon la jurisprudence susmentionnée, que les honoraires lui étaient versés en sa qualité d'organe de la société et ils doivent être considérés, en conséquence, comme salaire déterminant du point de vue de l’AVS. S’il est probable que le recourant a assisté et représenté la société de son père en justice en sa qualité d’avocat comme il le prétend, il n’a pas rendu vraisemblable que la rémunération reçue de la société relevait exclusivement d’une telle activité. Par ailleurs, le recourant a indiqué que son activité en tant qu’administrateur de la société consistait en des conseils juridiques sur le plan immobilier à son père dans l’activité du bureau d’architecte de celui-ci. L’on ne peut donc retenir que les honoraires perçus par le recourant de la société n’avaient aucune relation directe avec son rôle de membre du conseil d'administration. Les déclarations du témoin ne permettent pas non plus de renverser la présomption que les honoraires perçus par le recourant le rétribuaient, à tout le moins partiellement, pour son activité d’administrateur de la société. Il n’apparaît pas vraisemblable que l’audition des autres témoins proposés pourrait la renverser, de sorte qu’il y sera renoncé. Seuls des documents attestant des activités concrètement exercées pendant la période en cause par le recourant pour la société permettraient de renverser cette présomption. Or, force est de constater que le recourant n’en a pas produit. L’on pouvait attendre de celui-ci qu’il produise des pièces relatives à son activité</w:t>
      </w:r>
    </w:p>
    <w:p>
      <w:r>
        <w:t>A/1632/2019 - 14/16 - d’avocat pour son père, vu son devoir de collaboration. Il pouvait le faire sans violer son secret professionnel, avec l’accord de la société (art. 321 al. 2 et 3 CP), ou en caviardant certaines données si nécessaire. Faute pour lui d’avoir renversé la présomption, les honoraires perçus par le recourant de la société de 2014 à 2016 doivent être considérés comme du salaire et c’est en conséquence à juste titre que l’intimée lui a adressé une décision de reprise des cotisations sociales sur ces honoraires.</w:t>
      </w:r>
    </w:p>
    <w:p>
      <w:r>
        <w:rPr>
          <w:b/>
        </w:rPr>
        <w:t>E. 8</w:t>
      </w:r>
    </w:p>
    <w:p>
      <w:r>
        <w:t>a. Le fait que l’intimée ait déjà perçu les cotisations sociales sur les honoraires en cause dans le cadre des revenus d’indépendant du recourant ne l’empêche pas de procéder à une nouvelle appréciation de la situation. b. L'assureur peut en effet revenir sur des décisions entrées en force lorsqu'elles sont manifestement erronées et que leur rectification revêt une importance notable selon l'art. 53 al. 2 LPGA.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c. En l’espèce, l’appréciation inexacte de l’intimée est liée au fait qu’elle ignorait qu’en tant qu’administrateur de la société, il percevait des honoraires mensuels fixes qui lui étaient versés par la société, soit des éléments de fait essentiels pour apprécier le cas. Il en résulte que l’intimée était fondée à procéder à une</w:t>
      </w:r>
    </w:p>
    <w:p>
      <w:r>
        <w:t>A/1632/2019 - 15/16 - reconsidération et à rendre sa décision de reprise du 16 octobre 2018. Elle devra en conséquence, comme elle s’y est d’ailleurs engagée, rembourser au recourant les cotisations payées en lien avec les honoraires forfaitaires perçus de la société dans le cadre de l’activité indépendante du recourant.</w:t>
      </w:r>
    </w:p>
    <w:p>
      <w:r>
        <w:rPr>
          <w:b/>
        </w:rPr>
        <w:t>E. 9</w:t>
      </w:r>
    </w:p>
    <w:p>
      <w:r>
        <w:t>La décision querellée doit ainsi être confirmée et le recours rejeté. La procédure est gratuite.</w:t>
      </w:r>
    </w:p>
    <w:p>
      <w:r>
        <w:t>A/1632/2019 - 16/16 -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