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ATAS/869/2025 vom 14. November 2025</w:t>
      </w:r>
    </w:p>
    <w:p>
      <w:r>
        <w:t>GE Cour de justice, 2025-11-14, FR</w:t>
      </w:r>
    </w:p>
    <w:p>
      <w:r>
        <w:rPr>
          <w:b/>
        </w:rPr>
        <w:t xml:space="preserve">Quelle: </w:t>
      </w:r>
      <w:r>
        <w:t>https://mcp.opencaselaw.ch/entscheid/ge_gerichte_ATAS_869_2025</w:t>
      </w:r>
    </w:p>
    <w:p>
      <w:r>
        <w:t>FR: GE_GERICHTE ATAS/869/2025 du 14 novembre 2025</w:t>
      </w:r>
    </w:p>
    <w:p>
      <w:r>
        <w:t>IT: GE_GERICHTE ATAS/869/2025 del 14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 applicable par le renvoi de l’art. 1 al. 1 LAA).</w:t>
      </w:r>
    </w:p>
    <w:p>
      <w:r>
        <w:rPr>
          <w:b/>
        </w:rPr>
        <w:t>E. 2</w:t>
      </w:r>
    </w:p>
    <w:p>
      <w:r>
        <w:t>septembre 2013 consid. 5b/aa).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w:t>
      </w:r>
    </w:p>
    <w:p>
      <w:r>
        <w:rPr>
          <w:b/>
        </w:rPr>
        <w:t>E. 2.1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Ainsi, l’assureur-accidents doit également prendre en charge les suites indirectes d’un accident (RAMA 2003 n. U 487 p. 337 consid. 5.2.2 ; arrêts du Tribunal fédéral 8C_684/2008 du 5 janvier 2009</w:t>
      </w:r>
    </w:p>
    <w:p>
      <w:r>
        <w:t>A/3987/2024 - 7/25 - consid. 5.1 et 8C_444/2008 du 23 décembre 2008 consid. 5 ; ATAS/848/2013 du</w:t>
      </w:r>
    </w:p>
    <w:p>
      <w:r>
        <w:rPr>
          <w:b/>
        </w:rPr>
        <w:t>E. 2.2</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w:t>
      </w:r>
    </w:p>
    <w:p>
      <w:r>
        <w:t>A/3987/2024 - 8/25 -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115 V 403 consid. 5c/aa) : - les circonstances concomitantes particulièrement dramatiques ou le caractère particulièrement impressionnant de l’accident ;</w:t>
      </w:r>
    </w:p>
    <w:p>
      <w:r>
        <w:t>A/3987/2024 - 9/25 -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(cf. ATF 142 V 342 consid. 5.2.2). Une motivation particulière est nécessaire dans les cas où, exceptionnellement et pour des motifs déterminés, une durée supérieure à six mois doit être prise en compte (cf. arrêts du Tribunal fédéral 9C_571/2023 du 11 janvier 2024 consid. 6.2 et la référence ; 9C_480/2021 du 8 novembre 2022 consid. 5.3.2 et les références).</w:t>
      </w:r>
    </w:p>
    <w:p>
      <w:r>
        <w:rPr>
          <w:b/>
        </w:rPr>
        <w:t>E. 2.3</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t>A/3987/2024 - 10/25 -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2.4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w:t>
      </w:r>
    </w:p>
    <w:p>
      <w:r>
        <w:t>A/3987/2024 - 11/25 -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t>A/3987/2024 - 12/25 -</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w:t>
      </w:r>
    </w:p>
    <w:p>
      <w:r>
        <w:t>novembre 2021. Les limitations fonctionnelles comprenaient la position verticale et en charge sur une longue durée, le déplacement sur des sols irréguliers et le port de charges de manière répétitive de plus de 5 kg. Dans une activité respectant ces limitations, telle que l'ancienne activité de secrétaire ou d'assistante de direction, la capacité de travail de l'assurée était entière sans baisse de rendement, dès fin 2022, au plus tard début 2023. L’expert a également relevé que sur le plan de l’assurance-accidents, l’état pouvait être considéré comme stabilisé, vraisemblablement à fin 2022 après la tentative de perfusion de Kétamine qui n’avait pas donné le succès espéré. Dans ce contexte, et en l’absence de lésion objective majeure traumatique, on pouvait considérer que son état était stabilisé. Devant la chambre de céans, la recourante ne conteste pas spécifiquement cette appréciation. Elle se limite à rappeler que les blessures graves au pied et à la</w:t>
      </w:r>
    </w:p>
    <w:p>
      <w:r>
        <w:t>A/3987/2024 - 14/25 - cheville sont la conséquence directe et immédiate de l’accident. Ce point n’est toutefois pas contesté, l’expert orthopédiste ayant précisément retenu que les plaintes algiques importantes décrites par l’assurée concernant le pied et la cheville gauches étaient en relation de causalité certaine avec l’accident. L’assurance a d’ailleurs presté au titre de cet événement jusqu’au 31 décembre 2022 (s’agissant des frais de traitement) et jusqu’au 30 septembre 2023 (s’agissant des indemnités journalières). S’agissant de la stabilisation de sa situation médicale, elle allègue certes que son état de santé nécessite un suivi médical continu, ainsi que des traitements lourds et médicamenteux, mais ne prétend pas que ce suivi serait susceptible de conduire à une sensible amélioration de son état de santé. L’intéressée fait d’ailleurs valoir que les conditions de l’art. 19 LAA seraient remplies, ce qui implique que son état de santé se serait stabilisé. Pour le reste, et comme l’a retenu l’autorité intimée, sans avoir été contredite sur ce point, les pièces médicales versées dans le cadre de son opposition, en particulier les notes de suite des 27 juin et 24 août 2023, ne permettent pas de s'écarter des conclusions de l’expertise orthopédique sur ce point. Aucun médecin n'a en effet indiqué qu'un quelconque traitement médical était de nature à améliorer de manière significative l'état de santé de la recourante sur le plan somatique. La reprise de séances de physiothérapie ne suffit pas pour retenir une potentielle amélioration sensible de l’état de santé. On notera d’ailleurs que la reprise du traitement ne semble pas avoir eu d’effet bénéfique, le médecin des HUG ayant constaté des exacerbations douloureuses (cf. note de suite du 24 août 2023). Ainsi, au vu des pièces médicales au dossier, l’intimée a confirmé à juste titre que l’état de santé de la recourante était, au plan somatique, stabilisé au 1er janvier 2023. La recourante ne remet pas non plus en cause l’appréciation de l’expert orthopédique s’agissant de sa capacité de travail sur le plan somatique. Les pièces médicales produites par l’intéressée ne se prononcent d’ailleurs pas sur ce point. Compte tenu de ce qui précède, l’expertise orthopédique doit se voir reconnaître une pleine valeur probante. S’agissant de l’expertise psychiatrique, la Dre D______ a posé le diagnostic, avec incidence sur la capacité de travail, de trouble de l'adaptation avec réaction dépressive prolongée (43.21) depuis novembre 2021. Selon l’experte, ce trouble psychiatrique était dû de façon certaine à l’accident du 3 novembre 2021. Il était typiquement réactionnel à un évènement extérieur et stressant, secondaire à l’accident. La symptomatologie dépressive était toutefois stabilisée à la date de l’expertise, soit le 23 novembre 2022, aucun symptôme du registre dépressif n'étant présent lors de l'examen et l'échelle de dépression de Hamilton revenant avec un score non significatif (trois points). Les capacités de concentration, de compréhension et d'adaptation au rythme de travail n'étaient pas limitées pour des motifs strictement psychiatriques et aucune autre limitation fonctionnelle n'était retenue par l'experte. La capacité de travail de l'assurée était entière, sans limitation de rendement, dans toute activité.</w:t>
      </w:r>
    </w:p>
    <w:p>
      <w:r>
        <w:t>A/3987/2024 - 15/25 - La recourante conteste cette appréciation et se prévaut du rapport médical de la Dre F______ du 8 août 2023 qui évoque des symptômes rattachés à un état de stress post-traumatique et pose le diagnostic d’épisode dépressif d’intensité moyenne à sévère. Ce seul rapport médical ne suffit toutefois pas à écarter l’appréciation de l’experte s’agissant des troubles psychiques retenus. L’experte a en effet dûment expliqué les raisons pour lesquelles elle ne retenait pas de diagnostic psychiatrique de récurrence dépressive. Elle a notamment expliqué que la recourante n’avait aucun antécédent psychiatrique et que les symptômes présentés par l’intéressée ne correspondaient pas à ce diagnostic (absence de diminution de l’aptitude à se concentrer, absence de fatigue psychique importante après un effort minime, absence de trouble du sommeil, absence de trouble des conduites alimentaires, absence de trouble de la libido, absence d’aboulie et d’anhédonie, absence de difficultés à socialiser, absence de fragilité de l’estime de soi, absence de perte de confiance en soi, absence de perte d’intérêt pour les activités agréables). Il n’y a donc pas lieu de s’écarter du diagnostic de trouble de l’adaptation avec réaction dépressive prolongée retenu par l’experte. En tant que la recourante soutient que ses troubles psychiques seraient en lien de causalité naturelle et adéquate avec l’accident du 3 novembre 2021, force est de constaté que l’experte a retenu un lien de causalité certain. Elle a toutefois relevé que l’état de santé de la recourante était stabilisé sur le plan psychique et que sa capacité de travail était entière. Les pièces produites par la recourante ne permettent pas de s’écarter de cette appréciation. Il ne ressort en particulier pas du rapport médical de la Dre F______ du 8 août 2023 que les troubles psychiques retenus par la psychiatre traitante de l’assurée seraient incapacitants. Au demeurant, et comme l’a relevé l’intimée dans sa réponse, les troubles psychiques ne seraient, quoi qu’il en soit, pas en lien de causalité adéquate avec l’accident. Il n’est en effet pas contesté que l’accident doit être considéré comme étant de gravité moyenne au sens strict, si bien que trois des critères jurisprudentiels doivent au moins être remplis pour que la causalité adéquate soit admise, un seul étant toutefois suffisant s’il revêt une intensité particulière. Or, tel n’est pas le cas en l’espèce. En effet, contrairement à ce que retient la recourante, il ne ressort pas du dossier que l’accident aurait revêtu un caractère particulièrement impressionnant ou dramatique au sens de la jurisprudence (à titre de comparaison, ce critère a été reconnu en présence d’un accident de la circulation dans un tunnel impliquant un camion et une voiture avec plusieurs collisions contre le mur du tunnel [arrêt du Tribunal fédéral 8C_257/2008 du</w:t>
      </w:r>
    </w:p>
    <w:p>
      <w:r>
        <w:rPr>
          <w:b/>
        </w:rPr>
        <w:t>E. 4</w:t>
      </w:r>
    </w:p>
    <w:p>
      <w:r>
        <w:t>L'état de santé étant considéré comme stabilisé et la capacité de travail de la recourante ayant été déterminée de manière probante par l'intimée, il s'agit d'examiner le calcul du droit à la rente d'invalidité effectué par l'intimée.</w:t>
      </w:r>
    </w:p>
    <w:p>
      <w:r>
        <w:rPr>
          <w:b/>
        </w:rPr>
        <w:t>E. 4.1</w:t>
      </w:r>
    </w:p>
    <w:p>
      <w:r>
        <w:t>et les références). Pour déterminer le revenu sans invalidité, il convient d'établir ce que l'assuré aurait, au degré de la vraisemblance prépondérante, réellement pu obtenir au moment déterminant s'il n'était pas devenu invalide. Le revenu sans invalidité doit</w:t>
      </w:r>
    </w:p>
    <w:p>
      <w:r>
        <w:t>A/3987/2024 - 18/25 -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l'assurance-accidents,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(ATF 119 V 475 consid. 2b et les références ; arrêt du Tribunal fédéral 8C_664/2007 du 14 avril 2008 consid. 7.2.2 à 7.2.5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w:t>
      </w:r>
    </w:p>
    <w:p>
      <w:r>
        <w:t>A/3987/2024 - 19/25 - 75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w:t>
      </w:r>
    </w:p>
    <w:p>
      <w:r>
        <w:t>A/3987/2024 - 20/25 - 174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4.2</w:t>
      </w:r>
    </w:p>
    <w:p>
      <w:r>
        <w:t>Si l'assuré est invalide (art. 8 LPGA)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dans sa teneur en vigueur jusqu'au 31 décembre 2020) ; seules les conséquences de l'atteinte à la santé sont prises en compte pour juger de la présence d'une incapacité de gain ; de plus, il n'y a incapacité de gain que si celle-ci n'est pas objectivement surmontable (al. 2). Depuis le 1er janvier 2021, l'expression « marché du travail équilibré dans son domaine d'activité » a été remplacée, dans le texte français, par celle de « marché du travail équilibré qui entre en considération », dans le but de faire correspondre la version française aux versions allemandes et italiennes (cf. Message du Conseil fédéral concernant la modification de la loi fédérale sur la partie générale du droit des assurances sociales du 2 mars 2018, FF 2018 1622).</w:t>
      </w:r>
    </w:p>
    <w:p>
      <w:r>
        <w:rPr>
          <w:b/>
        </w:rPr>
        <w:t>E. 4.3</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w:t>
      </w:r>
    </w:p>
    <w:p>
      <w:r>
        <w:rPr>
          <w:b/>
        </w:rPr>
        <w:t>E. 4.4</w:t>
      </w:r>
    </w:p>
    <w:p>
      <w:r>
        <w:t>Dans la décision litigieuse, l’intimée a retenu qu’à la date de l’accident, la recourante percevait des revenus de trois employeurs différents. Se fondant sur un salaire horaire moyen de CHF 24.- sur 45 heures par semaine, elle a retenu un</w:t>
      </w:r>
    </w:p>
    <w:p>
      <w:r>
        <w:t>A/3987/2024 - 21/25 - revenu annuel d’au maximum CHF 56'160.- (CHF 24.- x 45 heures x 52 semaines) pour un taux d’activité de 100%. Renchéri jusqu’en 2023, le revenu sans invalidité s’élevait à CHF 57’583.55. S’agissant du revenu avec invalidité, l’intimée s’est référée aux salaires statistiques, soit le tableau « TA1_tiarge_sill_level » pour l’année 2022, niveau de compétence 1. Elle a retenu un revenu d’invalide de CHF 55'599.12 pour l’année 2023 (CHF 4'367.- x 41.7 / 40 heures x 12 x 2872 [indice 2023] / 2822 [indice 2022]). Ainsi, après comparaison des revenus, le degré d’invalidité de la recourante se montait à 3.44%, arrondi à 3%. Devant la chambre de céans, la recourante indique que la comparaison des revenus opérée par l’autorité intimée est « totalement fausse ». Elle ne conteste toutefois aucun des éléments retenus par l’intimée à l’appui de ses calculs. Elle ne prétend pas avoir été assurée dans le cadre de son activité lucrative indépendante et ne remet en cause ni les revenus perçus dans le cadre des trois emplois effectués avant l’accident, ni l’utilisation des salaires statistiques pour la détermination du revenu avec invalidité. Ainsi, en tant qu’elle repose sur les pièces au dossier - en particulier les bulletins de salaire produits par la recourante - et la jurisprudence rendue en la matière, la comparaison des revenus à laquelle a procédé l’intimée doit être confirmée. Or, dans la mesure où le taux d’invalidité est inférieur au taux minimum de 10% ouvrant le droit à une rente d’invalidité, c’est à raison que l’intimée a nié le droit à une rente.</w:t>
      </w:r>
    </w:p>
    <w:p>
      <w:r>
        <w:rPr>
          <w:b/>
        </w:rPr>
        <w:t>E. 5</w:t>
      </w:r>
    </w:p>
    <w:p>
      <w:r>
        <w:t>Reste à examiner si la recourante a droit à une IPAI.</w:t>
      </w:r>
    </w:p>
    <w:p>
      <w:r>
        <w:rPr>
          <w:b/>
        </w:rPr>
        <w:t>E. 5.1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1re phrase) ; elle ne doit pas excéder le montant maximum du gain annuel assuré à l'époque de l'accident et elle est échelonnée selon la gravité de l'atteinte à l'intégrité (al. 1, 2e phrase).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w:t>
      </w:r>
    </w:p>
    <w:p>
      <w:r>
        <w:t>A/3987/2024 - 22/25 -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w:t>
      </w:r>
    </w:p>
    <w:p>
      <w:r>
        <w:rPr>
          <w:b/>
        </w:rPr>
        <w:t>E. 5.2</w:t>
      </w:r>
    </w:p>
    <w:p>
      <w:r>
        <w:t>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209 consid. 2b ; 124 V 29 consid. 3).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 accident (ATF 115 V 133 consid. 6 ; 115 V 403 consid. 5).</w:t>
      </w:r>
    </w:p>
    <w:p>
      <w:r>
        <w:rPr>
          <w:b/>
        </w:rPr>
        <w:t>E. 5.3</w:t>
      </w:r>
    </w:p>
    <w:p>
      <w:r>
        <w:t>Selon l’art. 36 OLAA, édicté conformément à la délégation de compétence de l’art. 25 al. 2 LAA, une atteinte à l'intégrité est réputée durable lorsqu'il est prévisible qu'elle subsistera avec au moins la même gravité pendant toute la vie (al. 1, 1re phrase) ; elle est réputée importante lorsque l'intégrité physique ou mentale subit, indépendamment de la diminution de la capacité de gain, une altération évidente ou grave (al. 1, 2e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1re phrase). Cette disposition a été jugée conforme à la loi en tant qu'elle définit le caractère durable de l'atteinte (ATF 133 V 224 consid. 2 ; arrêt du Tribunal fédéral</w:t>
      </w:r>
    </w:p>
    <w:p>
      <w:r>
        <w:t>A/3987/2024 - 23/25 -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w:t>
      </w:r>
    </w:p>
    <w:p>
      <w:r>
        <w:rPr>
          <w:b/>
        </w:rPr>
        <w:t>E. 6</w:t>
      </w:r>
    </w:p>
    <w:p>
      <w:r>
        <w:t>Dans la décision entreprise, l’intimée a nié le droit de la recourante à l’octroi d’une IPAI sur la base des expertises des Dr E______ et D______. Sur le plan rhumatologique, le Dr E______ a en particulier constaté qu’objectivement, la recourante ne présentait qu’une dermite ocre sans fragilité tissulaire significative, associée à une hypodysesthésie localisée qui ne justifiait pas d’IPAI. Il a ajouté que l’intéressée n’avait aucun trouble dégénératif secondaire de ces anciennes fractures à la dernière Scinti-Spect-CT-scan. La Dre D______ a relevé quant à elle que l’accident n’avait provoqué aucun dommage permanent du point de vue psychiatrique. La recourante estime pour sa part que ses atteintes sont graves et durables. Elle relève qu’aucune perspective d’amélioration n’est envisageable et qu’il n’existe aucun emploi adapté à son état de santé sur le marché du travail. Elle ajoute que l’accident a entrainé un état dépressif récurrent avec une hospitalisation à la Clinique du Salève. Il sied toutefois de rappeler que le taux d'une atteinte à l'intégrité doit être évalué exclusivement sur la base de constatations médicales. Or, la recourante ne s'appuie sur aucun élément médical pour critiquer l'appréciation des Drs E______ et D______ quant à l’IPAI. La chambre de céans</w:t>
      </w:r>
    </w:p>
    <w:p>
      <w:r>
        <w:t>A/3987/2024 - 24/25 - observe par ailleurs que les experts ont pris en considération l’intégralité des éléments médicaux au dossier et pris position sur l’IPAI de manière convaincante. Comme déjà indiqué, le contexte médical a été clairement décrit par ces deux spécialistes et leurs conclusions sont motivées. C’est partant à juste titre que l’intimée a nié le droit de la recourante à l’octroi d’une IPAI. Au vu de ce qui précède, par appréciation anticipée des preuves (ATF 122 II 464 consid. 4a), il n’est pas nécessaire de mettre sur pied une expertise judiciaire. Il ne sera pas non plus donné suite à la demande d’apport de la procédure de l’assurance-invalidité, dès lors que le dossier contient toutes les pièces utiles pour statuer sur les questions pertinentes en matière d’assurance-accidents. Il sera du reste précisé que la recourante, qui avait accès à son dossier de l’assurance- invalidité, a eu l’occasion, tant devant la chambre de céans que lors de la procédure d’opposition, de produire tous les documents médicaux utiles pour soutenir son argumentation.</w:t>
      </w:r>
    </w:p>
    <w:p>
      <w:r>
        <w:rPr>
          <w:b/>
        </w:rPr>
        <w:t>E. 7</w:t>
      </w:r>
    </w:p>
    <w:p>
      <w:r>
        <w:t>Le recours est rejeté. La recourante, qui succombe, n'a pas droit à des dépens (art. 61 let. g LPGA a contrario). Pour le surplus, la procédure est gratuite (art. 61 let. fbis LPGA a contrario).</w:t>
      </w:r>
    </w:p>
    <w:p>
      <w:r>
        <w:t>A/3987/2024 - 25/25 -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