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ATAS/869/2023 vom 10. November 2023</w:t>
      </w:r>
    </w:p>
    <w:p>
      <w:r>
        <w:t>GE Cour de justice, 2023-11-10, FR</w:t>
      </w:r>
    </w:p>
    <w:p>
      <w:r>
        <w:rPr>
          <w:b/>
        </w:rPr>
        <w:t xml:space="preserve">Quelle: </w:t>
      </w:r>
      <w:r>
        <w:t>https://mcp.opencaselaw.ch/entscheid/ge_gerichte_ATAS_869_2023</w:t>
      </w:r>
    </w:p>
    <w:p>
      <w:r>
        <w:t>FR: GE_GERICHTE ATAS/869/2023 du 10 novembre 2023</w:t>
      </w:r>
    </w:p>
    <w:p>
      <w:r>
        <w:t>IT: GE_GERICHTE ATAS/869/2023 del 10 novembre 2023</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art. 52, 56a, al. 1, et art. 73 de la loi fédérale sur la prévoyance professionnelle, vieillesse, survivants et invalidité du 25 juin 1982 [LPP - RS 831.40] ; ancien art. 142 du Code civil [CC - RS 210]). Sa compétence pour juger du cas d’espèce est ainsi établie.</w:t>
      </w:r>
    </w:p>
    <w:p>
      <w:r>
        <w:rPr>
          <w:b/>
        </w:rPr>
        <w:t>E. 2.1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2.2</w:t>
      </w:r>
    </w:p>
    <w:p>
      <w:r>
        <w:t>L'art. 25a LFLP règle la procédure en cas de divorce. Si une décision concernant le partage de la prévoyance professionnelle en application de l’art. 280 ou 281 CPC s’avère impossible à prendre durant la procédure de divorce, le juge du lieu du divorce compétent au sens de l'art. 73 al. 1 de la loi fédérale sur la prévoyance professionnelle vieillesse, survivants et invalidité, du 25 juin 1982 (LPP - RS 831.40), soit à Genève, la CJCAS, exécute d’office, après que l’affaire lui a été transmise (art. 281 al. 3 CPC), le partage sur la base de la clé de répartition déterminée par le juge du divorce.</w:t>
      </w:r>
    </w:p>
    <w:p>
      <w:r>
        <w:rPr>
          <w:b/>
        </w:rPr>
        <w:t>E. 2.3</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w:t>
      </w:r>
    </w:p>
    <w:p>
      <w:r>
        <w:t>A/1136/2023 - 5/6 -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 Si le règlement de l'institution de prévoyance prévoit un taux d'intérêt supérieur pour l'avoir de vieillesse, ce taux est alors applicable (arrêt du Tribunal fédéral 9C_149/2017 du 10 octobre 2017 consid. 5.1).</w:t>
      </w:r>
    </w:p>
    <w:p>
      <w:r>
        <w:rPr>
          <w:b/>
        </w:rPr>
        <w:t>E. 2.5</w:t>
      </w:r>
    </w:p>
    <w:p>
      <w:r>
        <w:t>En l’espèce, le juge de première instance a ordonné le partage par moitié des prestations de sortie acquises durant le mariage par les demandeurs. Les dates pertinentes sont, d’une part, celle du mariage, le 24 février 2012, d’autre part, le 26 octobre 2020, date à laquelle la demande en divorce a été déposée. Selon les documents produits et les recherches effectuées par la chambre de céans, la prestation acquise pendant le mariage par le demandeur est de CHF 246'507.48 (657'276.75 – 410'769.27), les intérêts ayant déjà été calculés par l’institution de prévoyance défenderesse, d’une part, et par la chambre de céans, d’autre part. La demanderesse n’ayant acquis aucun avoir LPP durant le mariage, elle ne dispose pas d'une prestation de sortie sujette à partage. Ainsi, le demandeur doit à son ex-épouse le montant de CHF 123'253.74 (CHF 246'507.48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2.6</w:t>
      </w:r>
    </w:p>
    <w:p>
      <w:r>
        <w:t>Aucun émolument ne sera perçu, la procédure étant gratuite (art. 73 al. 2 LPP et 89H al. 1 de la loi sur la procédure administrative du 12 septembre 1985 (LPA - E 5 10).</w:t>
      </w:r>
    </w:p>
    <w:p>
      <w:r>
        <w:t>A/1136/2023 - 6/6 -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