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ATAS/869/2019 vom 23. September 2019</w:t>
      </w:r>
    </w:p>
    <w:p>
      <w:r>
        <w:t>GE Cour de justice, 2019-09-23, FR</w:t>
      </w:r>
    </w:p>
    <w:p>
      <w:r>
        <w:rPr>
          <w:b/>
        </w:rPr>
        <w:t xml:space="preserve">Quelle: </w:t>
      </w:r>
      <w:r>
        <w:t>https://mcp.opencaselaw.ch/entscheid/ge_gerichte_ATAS_869_2019</w:t>
      </w:r>
    </w:p>
    <w:p>
      <w:r>
        <w:t>FR: GE_GERICHTE ATAS/869/2019 du 23 septembre 2019</w:t>
      </w:r>
    </w:p>
    <w:p>
      <w:r>
        <w:t>IT: GE_GERICHTE ATAS/869/2019 del 23 settembre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 droit de l’intimé à mettre à la charge du recourant des intérêts moratoires au montant total de CHF 317.- (soit CHF 80.35 + CHF 236.65)</w:t>
      </w:r>
    </w:p>
    <w:p>
      <w:r>
        <w:rPr>
          <w:b/>
        </w:rPr>
        <w:t>E. 4</w:t>
      </w:r>
    </w:p>
    <w:p>
      <w:r>
        <w:t>Selon l’art. 26 al. 1 LPGA, les créances de cotisations échues sont soumises à la perception d’intérêts moratoires.</w:t>
      </w:r>
    </w:p>
    <w:p>
      <w:r>
        <w:t>A/1659/2019 - 4/6 - Sur le plan de l’assurance-vieillesse et survivants, la perception des intérêts moratoires est réglée à l’art. 41bis du règlement sur l'assurance-vieillesse et survivants du 31 octobre 1947 (RAVS - RS 831.101). Le Tribunal fédéral a jugé que cette disposition est conforme à la loi et demeure applicable après l’entrée en vigueur de l’art. 26 al. 1 LPGA. En effet, alors que cette dernière disposition consacre le principe des intérêts moratoires pour les cotisations échues, l’art. 41bis RAVS précise, quant à lui, la date de leur échéance (ATF 134 V 202 consid. 3.1 ; arrêt du Tribunal fédéral des assurances H 20/04 du 19 août 2004 consid. 1 publié in VSI 2004 p. 257). L'art. 41 bis al.1 lettre f. RAVS précise que doivent payer des intérêts moratoires les personnes exerçant une activité lucrative indépendante, les personnes sans activité lucrative et les salariés dont l'employeur n'est pas tenu de payer des cotisations, sur les cotisations impayées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Selon la jurisprudence,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cf. également Commentaires des modifications du RAVS au 1er janvier 2001 ad art. 41 bis al. 1 let. f, in Pratique VSI 3/2000 p. 132). L’incidence d’une éventuelle négligence de la part de l’administration sur la perception d’intérêts moratoires a déjà été tranchée par le Tribunal fédéral. Ainsi, a- t-il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le recourant aurait pu faire fructifier sa dette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w:t>
      </w:r>
    </w:p>
    <w:p>
      <w:r>
        <w:t>A/1659/2019 - 5/6 - d’intérêts de la personne tenue à cotisations et d’une perte correspondante de la part de la caisse (ATF 134 V 405 consid. 7.1; RCC 1992 p. 177 consid. 4c; arrêt du Tribunal fédéral des assurances 157/04 du 14 décembre 2004, consid. 3.4.2). Le tribunal fédéral a encore rappelé à maintes reprises que ces intérêts réclamés en cas de retard dans le versement des cotisations sont dus indépendamment de toute sommation, de toute faute de la caisse ou de l'affilié, et même en dépit de la parfaite bonne foi de ce dernier.</w:t>
      </w:r>
    </w:p>
    <w:p>
      <w:r>
        <w:rPr>
          <w:b/>
        </w:rPr>
        <w:t>E. 5</w:t>
      </w:r>
    </w:p>
    <w:p>
      <w:r>
        <w:t>En l’occurrence, en application de l’art. 41bis al. 1 let. f RAVS, des intérêts moratoires sont dus par le recourant, indépendamment d’une faute éventuelle de l’intimée. Cela étant, le recourant se prévaut du fait que l’intimée, en se référant uniquement aux données fiscales futures ne l’a, à tort, pas averti du fait que le revenu de son épouse, non taxé, pourrait être pris en compte. Toutefois, comme indiqué par l’intimée, dans les taxations provisoires 2014 puis 2015, le revenu de l’épouse du recourant avait déjà été pris en compte comme base de calcul, ce que le recourant était en mesure de savoir, au besoin en requérant de la caisse des explications sur le montant de CHF 37'347.-, correspondant à la moitié du salaire de son épouse. Pour le surplus, le calcul des intérêts moratoires n’est pas contesté.</w:t>
      </w:r>
    </w:p>
    <w:p>
      <w:r>
        <w:rPr>
          <w:b/>
        </w:rPr>
        <w:t>E. 6</w:t>
      </w:r>
    </w:p>
    <w:p>
      <w:r>
        <w:t>Partant, le recours ne peut qu’être rejeté.</w:t>
      </w:r>
    </w:p>
    <w:p>
      <w:r>
        <w:rPr>
          <w:b/>
        </w:rPr>
        <w:t>E. 7</w:t>
      </w:r>
    </w:p>
    <w:p>
      <w:r>
        <w:t>Pour le surplus la procédure est gratuite.</w:t>
      </w:r>
    </w:p>
    <w:p>
      <w:r>
        <w:t>A/1659/2019 - 6/6 -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