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ATAS/869/2008 vom 3. Mai 2007</w:t>
      </w:r>
    </w:p>
    <w:p>
      <w:r>
        <w:t>GE Cour de justice, 2007-05-03, FR</w:t>
      </w:r>
    </w:p>
    <w:p>
      <w:r>
        <w:rPr>
          <w:b/>
        </w:rPr>
        <w:t xml:space="preserve">Quelle: </w:t>
      </w:r>
      <w:r>
        <w:t>https://mcp.opencaselaw.ch/entscheid/ge_gerichte_ATAS_869_2008</w:t>
      </w:r>
    </w:p>
    <w:p>
      <w:r>
        <w:t>FR: GE_GERICHTE ATAS/869/2008 du 3 mai 2007</w:t>
      </w:r>
    </w:p>
    <w:p>
      <w:r>
        <w:t>IT: GE_GERICHTE ATAS/869/2008 del 3 maggio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A/2979/2007 4/5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25 juin 1982, d’autre part le 16 juin 2007, date à laquelle le jugement de divorce est devenu exécutoire.</w:t>
      </w:r>
    </w:p>
    <w:p>
      <w:r>
        <w:rPr>
          <w:b/>
        </w:rPr>
        <w:t>E. 4</w:t>
      </w:r>
    </w:p>
    <w:p>
      <w:r>
        <w:t>Selon les documents produits, la prestation acquise pendant le mariage par le demandeur est de 306'275 fr., intérêts au 16 juin 2007 compris, étant précisé que les 2'334 fr. 05 mentionnés par la CPPIC ne sont pas pris en compte car représentant les avoirs acquis à la date du mariage. La demanderesse pour sa part ne dispose d'aucun avoir LPP. Ainsi le demandeur doit à son ex-épouse le montant de 153'137 fr. 50 (306'275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A/2979/2007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