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ATAS/868/2022 vom 6. Oktober 2022</w:t>
      </w:r>
    </w:p>
    <w:p>
      <w:r>
        <w:t>GE Cour de justice, 2022-10-06, FR</w:t>
      </w:r>
    </w:p>
    <w:p>
      <w:r>
        <w:rPr>
          <w:b/>
        </w:rPr>
        <w:t xml:space="preserve">Quelle: </w:t>
      </w:r>
      <w:r>
        <w:t>https://mcp.opencaselaw.ch/entscheid/ge_gerichte_ATAS_868_2022</w:t>
      </w:r>
    </w:p>
    <w:p>
      <w:r>
        <w:t>FR: GE_GERICHTE ATAS/868/2022 du 6 octobre 2022</w:t>
      </w:r>
    </w:p>
    <w:p>
      <w:r>
        <w:t>IT: GE_GERICHTE ATAS/868/2022 del 6 ottobre 2022</w:t>
      </w:r>
    </w:p>
    <w:p>
      <w:pPr>
        <w:pStyle w:val="Heading2"/>
      </w:pPr>
      <w:r>
        <w:t>Erwägungen</w:t>
      </w:r>
    </w:p>
    <w:p>
      <w:r>
        <w:rPr>
          <w:b/>
        </w:rPr>
        <w:t>E. 1.1</w:t>
      </w:r>
    </w:p>
    <w:p>
      <w:r>
        <w:t>Conformément à l'art. 134 al. 1 let. a ch. 2 de la loi sur l'organisation judiciaire, du 26 septembre 2010 (LOJ; RS E 2 05) en vigueur dès le 1er janvier 2011,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les forme et délai prévus par la loi, le recours est recevable (art. 60 LPGA)</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w:t>
      </w:r>
    </w:p>
    <w:p>
      <w:r>
        <w:rPr>
          <w:b/>
        </w:rPr>
        <w:t>E. 2.2</w:t>
      </w:r>
    </w:p>
    <w:p>
      <w:r>
        <w:t>Le Tribunal fédéral a jugé qu’il devait être admis qu'en rendant une décision formelle de refus du droit à la rente et d'octroi d'une IPAI, la SUVA avait, par voie de conséquence, également refusé formellement le versement de l'indemnité journalière et la prise en charge du traitement médical. La question de la</w:t>
      </w:r>
    </w:p>
    <w:p>
      <w:r>
        <w:t>A/3550/2021 - 7/19 - suspension des indemnités journalières et du traitement médical d'une part, et de l'examen des conditions du droit à la rente d'autre part, formaient en effet un seul objet du litige (cf. ATF 144 V 354 consid. 4. 2 p. 358). La SUVA aurait certes pu rendre une décision formelle relative à la suppression des indemnités journalières et à la prise en charge du traitement médical après avoir constaté le désaccord de l'assurée avec le contenu de sa lettre (art. 49 LPGA). Toutefois, comme elle le faisait valoir, la situation juridique de cette dernière ne s'était pas trouvée affectée du fait qu'elle s'était prononcée par une décision formelle de refus de rente. L'assurée pouvait en effet faire valoir son droit aux indemnités journalières et à la prise en charge du traitement médical en formant opposition à la décision formelle précitée (arrêt du Tribunal fédéral 8C_619/2018 du 7 mars 2019).</w:t>
      </w:r>
    </w:p>
    <w:p>
      <w:r>
        <w:rPr>
          <w:b/>
        </w:rPr>
        <w:t>E. 2.3</w:t>
      </w:r>
    </w:p>
    <w:p>
      <w:r>
        <w:t>En l’occurrence, il doit être admis, dans le même sens, qu’en rendant, le 7 juin 2021, une décision formelle de refus de rente d’invalidité et d’octroi d’une IPAI de 25%, l’intimée a, par voie de conséquence, également refusé formellement le versement de l’indemnité journalière et le paiement des soins médicaux dès le 1er septembre 2021 (selon courrier de l’intimée du 19 mai 2021). Le litige porte en conséquence tant sur la cessation au 31 août 2021 des prestations précitées que sur le refus d’une rente d’invalidité et le taux de l’IPAI.</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w:t>
      </w:r>
    </w:p>
    <w:p>
      <w:r>
        <w:t>A/3550/2021 - 8/19 -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parait possible, mais qu'elle ne peut pas être qualifiée de probable dans le cas particulier, le droit à des prestations fondées sur l'accident assuré doit être nié (ATF 129 V 177 consid. 3.1 ; ATF 119 V 335 consid. 1 ;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rPr>
          <w:b/>
        </w:rPr>
        <w:t>E. 3.3</w:t>
      </w:r>
    </w:p>
    <w:p>
      <w:r>
        <w:t>Les notions de syndrome douloureux régional complexe (CRPS - Complex regional pain syndrome en anglais), algodystrophie ou maladie de Suedeck appartiennent aux maladies neurologiques, orthopédiques et traumatologiques et constituent ainsi une atteinte à la santé physique, respectivement corporelle (arrêt du Tribunal fédéral 8C_955/2008 du 29 avril 2009 consid. 6).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(arrêts du Tribunal fédéral 8C_871/2010 du</w:t>
      </w:r>
    </w:p>
    <w:p>
      <w:r>
        <w:rPr>
          <w:b/>
        </w:rPr>
        <w:t>E. 4</w:t>
      </w:r>
    </w:p>
    <w:p>
      <w:r>
        <w:t>octobre 2011 consid. 3.2 et 8C_384/2009 du 5 janvier 2010 consid. 4.2.1 in SVR 2010 UV n° 18 p. 69). Pour admettre un lien de causalité naturelle, il n'est pas déterminant que le diagnostic ait été posé dans les six à huit semaines après l’accident, mais que sur la base de constatations médicales fournies en temps réel, on puisse conclure que durant cette période de latence l'assuré a souffert au moins en partie des symptômes typiques de ce diagnostic. La causalité naturelle peut</w:t>
      </w:r>
    </w:p>
    <w:p>
      <w:r>
        <w:t>A/3550/2021 - 9/19 - également être admise si le syndrome fait suite à une opération en lien avec l'accident (arrêt du Tribunal fédéral 8C_27/2019 du 20 août 2019 consid. 6.4.2 et les références citées).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w:t>
      </w:r>
    </w:p>
    <w:p>
      <w:r>
        <w:t>5. Causalité</w:t>
      </w:r>
    </w:p>
    <w:p>
      <w:r>
        <w:t>A/3550/2021 - 17/19 -</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A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5.3</w:t>
      </w:r>
    </w:p>
    <w:p>
      <w:r>
        <w:t>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9C_644/2015 du 3 mai 2016 consid. 4.3.1).</w:t>
      </w:r>
    </w:p>
    <w:p>
      <w:r>
        <w:rPr>
          <w:b/>
        </w:rPr>
        <w:t>E. 6.1</w:t>
      </w:r>
    </w:p>
    <w:p>
      <w:r>
        <w:t>Indiquer les limitations fonctionnelles en relation avec chaque diagnostic</w:t>
      </w:r>
    </w:p>
    <w:p>
      <w:r>
        <w:rPr>
          <w:b/>
        </w:rPr>
        <w:t>E. 6.1.1</w:t>
      </w:r>
    </w:p>
    <w:p>
      <w:r>
        <w:t>Dates d'apparition 7. Capacité de travail</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6.3.1</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w:t>
      </w:r>
    </w:p>
    <w:p>
      <w:r>
        <w:t>A/3550/2021 - 13/19 -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rPr>
          <w:b/>
        </w:rPr>
        <w:t>E. 6.3.2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t>A/3550/2021 - 18/19 -</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8.2.1</w:t>
      </w:r>
    </w:p>
    <w:p>
      <w:r>
        <w:t>Les objections que peut soulever l'assuré à l'encontre de la personne de l'expert peuvent être de nature formelle ou matérielle ; les motifs de récusation formels sont ceux prévus par la loi (cf. art. 10 al. 1 PA [RS 172.021] et 36 al. 1 LPGA) ; d'autres motifs, tels que le manque de compétence dans le domaine médical retenu ou encore un manque d'adéquation personnelle de l'expert, sont de nature matérielle (ATF 132 V 93 consid. 6.5 ; arrêt du Tribunal fédéral 9C_180/2013 du 31 décembre 2013 consid. 2.3 ; JACQUES OLIVIER PIGUET, in Commentaire romand de la LPGA, 2018, n° 24 ad art. 44 LPGA ; arrêt du Tribunal fédéral 8C_452/2020 du 7 octobre 2021).</w:t>
      </w:r>
    </w:p>
    <w:p>
      <w:r>
        <w:rPr>
          <w:b/>
        </w:rPr>
        <w:t>E. 8.2.2</w:t>
      </w:r>
    </w:p>
    <w:p>
      <w:r>
        <w:t>Les motifs matériels doivent être examinés avec la décision sur le fond, dans le cadre de l’appréciation des preuves (ATF 132 V 93 ; arrêt du Tribunal fédéral 8C_146/2016 du 9 août 2016).</w:t>
      </w:r>
    </w:p>
    <w:p>
      <w:r>
        <w:rPr>
          <w:b/>
        </w:rPr>
        <w:t>E. 8.2.3</w:t>
      </w:r>
    </w:p>
    <w:p>
      <w:r>
        <w:t>S'agissant des motifs de récusation formels d'un expert, il y a lieu selon la jurisprudence d'appliquer les mêmes principes que pour la récusation d'un juge (ATF 137 V 210 consid. 2.1.3 ; 132 V 93 consid. 7.1 ; 120 V 357 consid. 3a) et qui découlent directement du droit constitutionnel à un tribunal indépendant et impartial garanti par l'art. 30 al. 1 Cst. - qui en la matière a la même portée que l'art. 6 par. 1 CEDH (ATF 134 I 20 consid. 4.2) - respectivement, pour un expert, des garanties générales de procédure de l'art. 29 al. 1 Cst., qui assure à cet égard une protection équivalente à celle de l'art. 30 al. 1 Cst. (arrêt du Tribunal fédéral 5A_484/2015 du 2 octobre 2015 consid. 2.3.2 et les références ; arrêt du Tribunal fédéral 8C_452/2020 du 7 octobre 2021). Un expert passe ainsi pour prévenu lorsqu'il existe des circonstances propres à faire naître un doute sur son impartialité. Dans ce domaine, il s'agit toutefois d'un</w:t>
      </w:r>
    </w:p>
    <w:p>
      <w:r>
        <w:t>A/3550/2021 - 15/19 -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128 V 82 consid. 2a ; arrêt du Tribunal fédéral 8C_452/2020 du 7 octobre 2021).</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Appréciation d'avis médicaux du dossier</w:t>
      </w:r>
    </w:p>
    <w:p>
      <w:r>
        <w:rPr>
          <w:b/>
        </w:rPr>
        <w:t>E. 10.1</w:t>
      </w:r>
    </w:p>
    <w:p>
      <w:r>
        <w:t>Êtes-vous d'accord avec les avis du Dr D______ (des 16 février, 29 avril, 30 avril, 3 septembre et 21 décembre 2021 et 16 juin 2022) ? En particulier avec les diagnostics posés et l'estimation d'une capacité de travail de la personne expertisée de 100% avec une diminution de rendement de 5% ? Si non, pourquoi ?</w:t>
      </w:r>
    </w:p>
    <w:p>
      <w:r>
        <w:rPr>
          <w:b/>
        </w:rPr>
        <w:t>E. 10.2</w:t>
      </w:r>
    </w:p>
    <w:p>
      <w:r>
        <w:t>Êtes-vous d’accord avec les avis de la Dresse H______ (18 juin 2021) et des Drs I______ (21 juillet 2021) et J______ (14 septembre 2021) ? En particulier avec une capacité de travail de la personne expertisée de 50% maximum ? Si non, pourquoi ?</w:t>
      </w:r>
    </w:p>
    <w:p>
      <w:r>
        <w:rPr>
          <w:b/>
        </w:rPr>
        <w:t>E. 11</w:t>
      </w:r>
    </w:p>
    <w:p>
      <w:r>
        <w:t>Autres facteurs Suite à l’accident du 22 janvier 2018 :</w:t>
      </w:r>
    </w:p>
    <w:p>
      <w:r>
        <w:rPr>
          <w:b/>
        </w:rPr>
        <w:t>E. 11.1</w:t>
      </w:r>
    </w:p>
    <w:p>
      <w:r>
        <w:t>Les lésions apparues sont-elles graves ?</w:t>
      </w:r>
    </w:p>
    <w:p>
      <w:r>
        <w:rPr>
          <w:b/>
        </w:rPr>
        <w:t>E. 11.2</w:t>
      </w:r>
    </w:p>
    <w:p>
      <w:r>
        <w:t>Ces lésions sont-elles propres, selon l'expérience, à entrainer des troubles psychiques ?</w:t>
      </w:r>
    </w:p>
    <w:p>
      <w:r>
        <w:rPr>
          <w:b/>
        </w:rPr>
        <w:t>E. 11.3</w:t>
      </w:r>
    </w:p>
    <w:p>
      <w:r>
        <w:t>Ces lésions ont-elles nécessité des traitements continus spécifiques et lourds ? Si oui, lesquels ? Pendant quel intervalle de temps ?</w:t>
      </w:r>
    </w:p>
    <w:p>
      <w:r>
        <w:t>A/3550/2021 - 19/19 -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III. Invite l’expert à déposer son rapport en trois exemplaires dans les meilleurs délais auprès de la chambre de céans. IV. Réserve le fond ainsi que le sort des frais jusqu’à droit jugé au fond. V.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