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ATAS/868/2017 vom 9. Oktober 2017</w:t>
      </w:r>
    </w:p>
    <w:p>
      <w:r>
        <w:t>GE Cour de justice, 2017-10-09, FR</w:t>
      </w:r>
    </w:p>
    <w:p>
      <w:r>
        <w:rPr>
          <w:b/>
        </w:rPr>
        <w:t xml:space="preserve">Quelle: </w:t>
      </w:r>
      <w:r>
        <w:t>https://mcp.opencaselaw.ch/entscheid/ge_gerichte_ATAS_868_2017</w:t>
      </w:r>
    </w:p>
    <w:p>
      <w:r>
        <w:t>FR: GE_GERICHTE ATAS/868/2017 du 9 octobre 2017</w:t>
      </w:r>
    </w:p>
    <w:p>
      <w:r>
        <w:t>IT: GE_GERICHTE ATAS/868/2017 del 9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Interjeté dans la forme et le délai prévus par la loi, le recours est recevable, en vertu des art. 56ss LPGA.</w:t>
      </w:r>
    </w:p>
    <w:p>
      <w:r>
        <w:rPr>
          <w:b/>
        </w:rPr>
        <w:t>E. 2.1</w:t>
      </w:r>
    </w:p>
    <w:p>
      <w:r>
        <w:t>et 9C_236/2009 du 7 octobre 2009 consid. 3.3).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ATF 104 V 136 consid. 2; VSI 1998 p. 122 consid. 1a et p. 257 consid. 2b). Le revenu d'invalide doit être évalué avant tout en fonction de la situation professionnelle concrète de l'assuré. En l'absence d'un revenu effectivement réalisé, la jurisprudence considère que le revenu d'invalide peut être évalué sur la base des statistiques salariales (ATF 129 V 472 consid. 4.2.1; ATF 126 V 75 consid. 3b/aa et les références). Dans ce cas, il convient de se fonder, en règle générale, sur les salaires mensuels indiqués dans la table ESS TA1, à la ligne «total secteur privé» (ATF 124 V 321 consid. 3b/aa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9C_142/2009 du 20 novembre 2009 consid. 4.1 et les références citées).</w:t>
      </w:r>
    </w:p>
    <w:p>
      <w:r>
        <w:t>A/4158/2016 - 21/31 -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Les dirigeants d’une société anonyme ou d’une société à responsabilité limitée doivent en principe être considérés comme des salariés. Toutefois, si une personne dirigeant une telle société dispose d’une influence déterminante sur celle-ci (par ex. parce qu’elle est la seule à avoir le droit de signature), il est justifié d’évaluer l’invalidité par la méthode utilisée pour les indépendants (par ex. en tenant compte de la moyenne des revenus de plusieurs années ou par une comparaison pondérée des champs d’activité, cf. arrêt du Tribunal fédéral 8C_898/2010 du 13 avril 2011). On considère notamment qu’un assuré employé par une société anonyme revêt un statut d’indépendant s’il dispose d’une influence déterminante sur l’entreprise en sa qualité d’actionnaire unique. Comme, de par cette position, il a en outre une influence déterminante sur la répartition des revenus entre salaire et bénéfice, on ne peut pas se baser seulement sur les extraits du compte individuel pour fixer le taux d’invalidité (arrêt du Tribunal fédéral 8C_346/2012 du 24 août 2012; CIIAI, ch. 3028.1 et 3028.2). Dans un arrêt du 9 mars 2012, le Tribunal fédéral a estimé que la méthode extraordinaire s'appliquait à un assuré, directeur et administrateur unique d'une société anonyme, dont il était actionnaire minoritaire. La méthode ordinaire d'évaluation de l'invalidité (dite de comparaison des revenus) n'était à l'évidence pas appropriée pour appréhender convenablement la situation de l'assuré. Le Tribunal fédéral a rappelé que l'assurance-invalidité a pour but d'atténuer au mieux les effets préjudiciables de l'invalidité sur la capacité de gain de la personne assurée. Elle accorde de ce fait une importance primordiale à la diminution objective de la capacité de gain. Les salaires déclarés auprès de la caisse de compensation par la société anonyme ne pouvaient refléter objectivement et de manière fiable la diminution de la capacité de gain subie par l'assuré (arrêt du Tribunal fédéral 9C_548/2011 consid. 4.3 concernant l'ATAS/558/2011).</w:t>
      </w:r>
    </w:p>
    <w:p>
      <w:r>
        <w:rPr>
          <w:b/>
        </w:rPr>
        <w:t>E. 3</w:t>
      </w:r>
    </w:p>
    <w:p>
      <w:r>
        <w:t>Le litige porte sur la question de savoir si le recourant a droit à une rente d'invalidité non limitée dans le temps, respectivement si la rente limitée qui lui a été accordée du 1er juillet 2014 au 30 novembre 2015 doit s'étendre au-delà de cette dernière date.</w:t>
      </w:r>
    </w:p>
    <w:p>
      <w:r>
        <w:rPr>
          <w:b/>
        </w:rPr>
        <w:t>E. 4</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w:t>
      </w:r>
    </w:p>
    <w:p>
      <w:r>
        <w:t>A/4158/2016 - 14/31 - ont subi un changement important (ATF 130 V 343 consid. 3.5; ATF 113 V 273 consid. 1a; arrêt du Tribunal fédéral 9C_1006/2010 du 22 mars 2011 consid 2.2).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w:t>
      </w:r>
    </w:p>
    <w:p>
      <w:r>
        <w:t>A/4158/2016 - 15/31 -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A/4158/2016 - 16/31 -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t>A/4158/2016 - 17/31 -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(art. 16 LPGA)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w:t>
      </w:r>
    </w:p>
    <w:p>
      <w:r>
        <w:t>A/4158/2016 - 18/31 -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w:t>
      </w:r>
    </w:p>
    <w:p>
      <w:r>
        <w:t>A/4158/2016 - 19/31 -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9C_572/2010 du 25 mars 2011 consid. 3.4).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w:t>
      </w:r>
    </w:p>
    <w:p>
      <w:r>
        <w:t>A/4158/2016 - 20/31 - Selon la jurisprudence, chez une personne de condition indépendante,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w:t>
      </w:r>
    </w:p>
    <w:p>
      <w:r>
        <w:rPr>
          <w:b/>
        </w:rPr>
        <w:t>E. 9</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t>A/4158/2016 - 22/31 -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w:t>
      </w:r>
    </w:p>
    <w:p>
      <w:r>
        <w:t>A/4158/2016 - 24/31 -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w:t>
      </w:r>
    </w:p>
    <w:p>
      <w:r>
        <w:t>En l'espèce, il y a tout d'abord lieu de relever que la contestation du recourant ne porte pas sur la méthode utilisée par l'intimé pour déterminer les revenus avec et sans invalidité, et ainsi la comparaison des revenus permettant de déterminer le taux d'invalidité retenu dans la décision entreprise, pour la période postérieure au 30 novembre 2015 n'est pas contestée. A toutes fins utiles, la chambre de céans retient que la méthode utilisée est conforme aux dispositions légales applicables ainsi qu'à la jurisprudence, de sorte que de ce point de vue, la décision entreprise n'est pas critiquable.</w:t>
      </w:r>
    </w:p>
    <w:p>
      <w:r>
        <w:rPr>
          <w:b/>
        </w:rPr>
        <w:t>E. 15</w:t>
      </w:r>
    </w:p>
    <w:p>
      <w:r>
        <w:t>juin 2015, qui se résume à indiquer que la capacité de travail de l'intéressé est nulle dès cette date, à réévaluer à fin août 2015. Ce document n'est pas motivé, mais surtout il concerne une période pour laquelle en définitive l'OAI a reconnu une pleine incapacité de travail et a alloué une rente invalidité, jusqu'au 30 novembre 2015. Cette pièce n'a aucune pertinence par rapport à l'objet du litige, et n'a aucune valeur probante, a fortiori pour la période postérieure au 30 novembre 2015. Il en va de même de la pièce 2, qui n'est qu'une lettre de convocation au service de chirurgie des HUG, au 27 août 2015, en vue de la réévaluation mentionnée dans le document précédent. - Pièce 3 : la feuille accident LAA produite, qui concerne effectivement l'accident du 17 avril 2013, fait état d'une incapacité totale de travail apparemment dès janvier 2016, régulièrement prolongée, jusqu'en octobre par le médecin-traitant, puis, une fois par le psychiatre consulté le 9 novembre 2016, ainsi qu'une autre inscription de prochain rendez-vous au 1er décembre 2016, vraisemblablement, selon les explications de l'intéressé en audience de comparution personnelle, par</w:t>
      </w:r>
    </w:p>
    <w:p>
      <w:r>
        <w:t>A/4158/2016 - 25/31 - le Dr T______, qui remplaçait le médecin traitant, temporairement suspendu. Outre le fait que l'incapacité de travail durable résultant des prolongations successives n'est nullement motivée, les deux dernières, postérieures au dépôt du recours, ne le sont pas davantage. S'agissant de l'incapacité mentionnée par le Dr S______, que le recourant a indiqué avoir consulté le 9 novembre 2016 pour la première fois, soit après le dépôt du recours, ce document n'explique pas en quoi se justifierait la soudaine apparition d'une incapacité totale de travail, pour des raisons psychiatriques, des suites de l'accident du 17 avril 2013. Il faut également relever que cette pièce doit être mise en relation avec les pièces 5 et 7 produites par le recourant : entendu par la chambre de céans, et questionné au sujet de l'endroit où a été mentionné cette incapacité de travail - a priori après l'inscription portant la date du 1er décembre 2016 -, ce dernier a indiqué que sur les arrêts de travail (pièces 5 datée du 9 novembre 2016 et 7 datée du 7 décembre 2016) signés par le psychiatre traitant - qui mentionnaient initialement un arrêt de travail pour maladie, la croix ayant été biffée pour être remplacée par celle désignant l' accident - le Dr S______ s'était trompé et avait immédiatement corrigé à la demande du patient la raison de l'incapacité de travail. Le recourant précise : « je souhaitais en effet pouvoir faire valoir cet état dépressif auprès de la SUVA.» Et, en relation avec la pièce 3, il confirme avoir été présenter ce document à la CNA deux jours après que son médecin ait apposé l'inscription de la date de la consultation et du degré de l'incapacité de travail. La chambre de céans observe à cet égard que si l'inscription sur la pièce 3 mentionnait la date de la consultation, elle ne précise pas à quelle date celle-ci a été apposée. Au vu des explications du recourant, il apparaît dès lors, au degré de la vraisemblance prépondérante, que l'inscription litigieuse a été faite en décembre, après l'inscription du Dr T______. En effet, il paraît peu vraisemblable que le psychiatre traitant se soit trompé, par deux fois à un mois d'intervalle, en établissant ces arrêts de travail, et au vu des explications données par le recourant, il apparaît plutôt que les deux certificats ont selon toute vraisemblance été corrigés en même temps, et à la demande du patient pour les raisons qu'il a mentionnées, soit très vraisemblablement, lors de l'établissement du deuxième certificat (7 décembre 2016), ce qui expliquerait pourquoi l'inscription du psychiatre pour novembre est placée après l'inscription relative à une consultation de médecine générale en décembre. - Dans le même ordre d'idées, le certificat médical établi le 10 janvier 2017 par le psychiatre traitant (pièce 10) ne saurait pas non plus se voir reconnaître de valeur probante: à la forme déjà, ce document, établi sur trois feuillets d'ordonnance médicale successifs, a manifestement été rédigé à la hâte, à la demande de l'intéressé; et sur le fond, il ne saurait convaincre. Non seulement il est très largement incomplet, ne pouvant en cela répondre aux réquisits jurisprudentiels pour pouvoir admettre la valeur probante d'un document médical. Il ne comporte pas de véritable anamnèse, ne fait que reporter les indications du patient, sans la moindre analyse critique, approche paraissant</w:t>
      </w:r>
    </w:p>
    <w:p>
      <w:r>
        <w:t>A/4158/2016 - 26/31 - indispensable dans ce contexte, l'intéressé n'ayant consulté le psychiatre que le 9 novembre 2016 d'une part, et le médecin faisant remonter la description (par le patient) d'une symptomatologie qui serait apparue un an auparavant, soit au début 2016 (soit près de 3 ans après une chute d'un escabeau, de faible hauteur), et qui aurait évolué depuis lors. Il n'explique pas non plus pourquoi - alors qu'il n'a vu le patient pour la première fois que le 9 novembre 2016 -, il fixe le début de l'arrêt de travail à 100 % au 3 novembre 2016, date qui ne s'explique a priori qu'en fonction de celle de la décision entreprise (4 novembre 2016), pour que l'incapacité de travail paraisse antérieure à la décision querellée. - S'agissant de la pièce 6, soit une convocation au service de radiologie des HUG du 1er décembre 2016, pour un rendez-vous le 20 décembre 2016: ce document ne permet évidemment pas de tirer la moindre conclusion par rapport à l'état de santé du recourant. Elle mentionne que ce rendez-vous était destiné à un examen de ponction ou d’infiltration ostéo-articulaire sous imagerie ultrasonore. Interrogé par la chambre de céans sur les raisons de la production de ce document, le recourant a expliqué que cette pièce était destinée à montrer qu'il n'avait pas seulement des douleurs mais qu'il avait très mal. Mais il a ensuite précisé que finalement il avait dû changer le rendez-vous et le faire reporter au 17 janvier 2017 car il avait autre chose le 20 décembre. Mais il a aussi déclaré en comparution personnelle que l'opération qu'il avait subie aux HUG avait certes entraîné une amélioration de l'état de son épaule, ajoutant (…) : « mais j'ai quand même encore des douleurs, qui me réveillent parfois la nuit. » - Quant à la pièce 8, une confirmation de rendez-vous à l'agence de la CNA Genève le 17 janvier 2017, le recourant a précisé que l'objet de ce rendez-vous était qu'il puisse prendre possession de la copie de son dossier d'accident sur support électronique, et pour recevoir notification de la décision fixant son droit à l'IPAI dont il avait touché le montant en avance en février 2016. - S'agissant enfin de la pièce 4, soit un certificat médical du médecin-traitant du</w:t>
      </w:r>
    </w:p>
    <w:p>
      <w:r>
        <w:rPr>
          <w:b/>
        </w:rPr>
        <w:t>E. 17</w:t>
      </w:r>
    </w:p>
    <w:p>
      <w:r>
        <w:t>Au vu de ce qui précède, force est de constater que le recours est en tout point mal fondé. Il sera donc rejeté.</w:t>
      </w:r>
    </w:p>
    <w:p>
      <w:r>
        <w:rPr>
          <w:b/>
        </w:rPr>
        <w:t>E. 18</w:t>
      </w:r>
    </w:p>
    <w:p>
      <w:r>
        <w:t>Etant donné que depuis le 1er juillet 2006, la procédure n'est plus gratuite (art. 69 al. 1bis LAI), il y a lieu de condamner le recourant au paiement d'un émolument de CHF 200.-.</w:t>
      </w:r>
    </w:p>
    <w:p>
      <w:r>
        <w:t>A/4158/2016 - 31/31 -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