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ATAS/868/2007 vom 21. August 2007</w:t>
      </w:r>
    </w:p>
    <w:p>
      <w:r>
        <w:t>GE Cour de justice, 2007-08-21, FR</w:t>
      </w:r>
    </w:p>
    <w:p>
      <w:r>
        <w:rPr>
          <w:b/>
        </w:rPr>
        <w:t xml:space="preserve">Quelle: </w:t>
      </w:r>
      <w:r>
        <w:t>https://mcp.opencaselaw.ch/entscheid/ge_gerichte_ATAS_868_2007</w:t>
      </w:r>
    </w:p>
    <w:p>
      <w:r>
        <w:t>FR: GE_GERICHTE ATAS/868/2007 du 21 août 2007</w:t>
      </w:r>
    </w:p>
    <w:p>
      <w:r>
        <w:t>IT: GE_GERICHTE ATAS/868/2007 del 21 agosto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ce qui concerne la procédure et à défaut de règles transitoires contraires, la LPGA et son ordonnance d'application s'appliquent sans réserve dès le jour de leur entrée en vigueur (ATF 117 V 93 consid. 6b; 112 V 360 consid. 4a; RAMA 1998 KV 37 p. 316 consid. 3b). Sur le fond, le Tribunal de céans relève que la décision litigieuse a été rendue en date du 30 mai 2006 mais statue sur un état de fait juridiquement déterminant remontant à l'année 2002. Le présent litige sera dès lors examiné à la lumière des dispositions de la LAI et de son règlement en vigueur jusqu'au 31 décembre 2002 et selon la LPGA pour la période postérieure. Enfin, s'agissant des modifications de la LAI du 21 mars 2003, entrées en vigueur le 1er janvier 2004, elles seront citées dans la mesure de leur pertinence.</w:t>
      </w:r>
    </w:p>
    <w:p>
      <w:r>
        <w:rPr>
          <w:b/>
        </w:rPr>
        <w:t>E. 3</w:t>
      </w:r>
    </w:p>
    <w:p>
      <w:r>
        <w:t>Déposé dans les forme et délai prévus par la loi, le présent recours est recevable (art. 60 LPGA).</w:t>
      </w:r>
    </w:p>
    <w:p>
      <w:r>
        <w:rPr>
          <w:b/>
        </w:rPr>
        <w:t>E. 4</w:t>
      </w:r>
    </w:p>
    <w:p>
      <w:r>
        <w:t>Le litige porte sur le degré d'invalidité et, plus particulièrement sur le droit de l'assuré à des prestations AI.</w:t>
      </w:r>
    </w:p>
    <w:p>
      <w:r>
        <w:rPr>
          <w:b/>
        </w:rPr>
        <w:t>E. 5</w:t>
      </w:r>
    </w:p>
    <w:p>
      <w:r>
        <w:t>L’art. 4 al. 1 LAI définit l’invalidité comme étant la diminution de la capacité de gain, présumée permanente ou de longue durée, qui résulte d’une atteinte à la santé physique, ou mentale provenant d’une infirmité congénitale, d’une maladie ou d’un accident (art. 8 LPGA).</w:t>
      </w:r>
    </w:p>
    <w:p>
      <w:r>
        <w:rPr>
          <w:b/>
        </w:rPr>
        <w:t>E. 6</w:t>
      </w:r>
    </w:p>
    <w:p>
      <w:r>
        <w:t>Aux termes de l’art. 28 al. 1 LAI, l’assuré a droit à une rente s’il est invalide à 66 2/3% au moins, à une demi-rente s’il est invalide à 50% au moins, ou à un quart de rente s’il est invalide à 40% au moins.</w:t>
      </w:r>
    </w:p>
    <w:p>
      <w:r>
        <w:t>A/1205/2007 - 7/11 -</w:t>
      </w:r>
    </w:p>
    <w:p>
      <w:r>
        <w:rPr>
          <w:b/>
        </w:rPr>
        <w:t>E. 7</w:t>
      </w:r>
    </w:p>
    <w:p>
      <w:r>
        <w:t>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conformément à la doctrine médicale (ATF 102 V 165 ; VSI 2001 p. 224 consid. 2b et les références; cf. aussi ATF 127 V 298 consid. 4c in fine). Un rapport d'expertise attestant la présence d'une atteinte psychique ayant valeur de maladie est une condition juridique nécessaire, mais ne constitue pas encore une base suffisante pour que l'on puisse admettre qu'une limitation de la capacité de travail revêt un caractère invalidant (ATF 130 V 352 consid. 2.2.3; Ulrich MEYER- BLASER, Der Rechtsbegriff der Arbeitsunfähigkeit und seine Bedeutung in der Sozialversicherung, namentlich für den Einkommensvergleich in der Invaliditätsbemessung, in: René SCHAUFFHAUSER /Franz SCHLAURI (éd.), Schmerz und Arbeitsunfähigkeit, St. Gall 2003, p. 64 sv., et note 93).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(art. 40 PCF en liaison avec l'art. 19 PA; art. 95 al. 2 en liaison avec 113 et 132 OJ; VSI 2001 p. 108 consid. 3a),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Il appartient ainsi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(ATF 130 V 352 consid. 2.2.5).</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w:t>
      </w:r>
    </w:p>
    <w:p>
      <w:r>
        <w:t>A/1205/2007 - 8/11 -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9</w:t>
      </w:r>
    </w:p>
    <w:p>
      <w:r>
        <w:t>L'examen psychiatrique conduit par le Dr E___________ le 3 février 2006 se fonde sur un examen clinique complet et prend également en considération les plaintes exprimées par le recourant. Ce rapport a par ailleurs été établi en pleine connaissance de l'anamnèse. La description de la situation médicale et son appréciation sont claires. Le médecin s'est exprimé sur l'évolution de l'état de santé ainsi que sur la capacité de travail exigible et a dûment motivé son point de vue. Ses conclusions sont cohérentes et convaincantes, de sorte que le rapport d'expertise remplit toutes les conditions jurisprudentielles permettant de lui reconnaître une pleine force probante. Une nouvelle expertise médicale s'avère dans ces conditions inutile. Tant le Dr D___________ que le Dr E___________ ont retenu le diagnostic de trouble de la personnalité schizoïde. Les deux experts ont relevé que l'assuré avait, malgré ce trouble, fonctionné convenablement et exercé une activité lucrative dans le milieu informatique à satisfaction, mais ont constaté que le licenciement avait été</w:t>
      </w:r>
    </w:p>
    <w:p>
      <w:r>
        <w:t>A/1205/2007 - 9/11 - ressenti tellement violemment par l'assuré, qu'il avait donné lieu à une décompensation. Selon le Dr D___________ en effet, l'assuré réagit fortement à des événements extérieurs et le licenciement avait constitué "une sorte de pic" à cet égard. Le Dr E___________ a quant à lui décrit l'assuré comme "hors piste" depuis ce licenciement. Les deux médecins sont ainsi d'accord sur le diagnostic posé et ses conséquences, à savoir notamment que l'assuré avait réagi fortement face à son licenciement (décompensation) et présente de sérieuses difficultés dans les relations interindividuelles, Les deux médecins divergent en revanche dans leur point de vue concernant la capacité de travail. Le Dr D___________ considère que celle-ci est nulle de mai 2000 à août 2003 et de 60% depuis. Le Dr E___________ estime au contraire que le trouble de la personnalité présent depuis l'enfance, et qui n'a que peu évolué, ne justifiait pas une incapacité de travail dépassant 10% environ (diminution du rendement), puisqu'il n'a précisément pas empêché l'assuré de travailler de manière adéquate dans l'informatique durant plusieurs années. Le Tribunal de céans constate que le médecin traitant lui-même semble partager l'avis du Dr E___________, dans la mesure où il n'a pas retenu de diagnostic psychiatrique précis. Dans son certificat du 25 juillet 2006 du reste, le Dr A___________ se borne à rapporter les plaintes de son patient. Il sied quoi qu'il en soit de relever que le Dr A___________ n'est pas psychiatre. L'assuré présente certes des singularités de comportement, celles-ci ne devraient cependant pas l'empêcher d'exercer une activité lucrative dans l'informatique, domaine qu'il maîtrise et dans le cadre duquel il lui est possible de gérer le trouble dont il est atteint. Il y a au surplus lieu de rappeler, à l'instar du Dr E___________, que l'assuré a fonctionné professionnellement de manière satisfaisante pendant des années, malgré ce trouble de la personnalité préexistant.</w:t>
      </w:r>
    </w:p>
    <w:p>
      <w:r>
        <w:rPr>
          <w:b/>
        </w:rPr>
        <w:t>E. 10</w:t>
      </w:r>
    </w:p>
    <w:p>
      <w:r>
        <w:t>Au vu de ce qui précède, force est de constater que les troubles psychiques en cause ne se manifestent pas avec une telle sévérité que, d'un point de vue objectif, ils excluent toute mise en valeur de sa capacité de travail. Au contraire, il convient d'admettre le caractère exigible d'un effort de volonté de sa part en vue de surmonter ces troubles et de se réinsérer dans un processus de travail.</w:t>
      </w:r>
    </w:p>
    <w:p>
      <w:r>
        <w:rPr>
          <w:b/>
        </w:rPr>
        <w:t>E. 11</w:t>
      </w:r>
    </w:p>
    <w:p>
      <w:r>
        <w:t>Aussi le recours doit-il être rejeté.</w:t>
      </w:r>
    </w:p>
    <w:p>
      <w:r>
        <w:t>A/1205/2007 - 11/11 -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