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ATAS/867/2014 vom 16. Juli 2014</w:t>
      </w:r>
    </w:p>
    <w:p>
      <w:r>
        <w:t>GE Cour de justice, 2014-07-16, FR</w:t>
      </w:r>
    </w:p>
    <w:p>
      <w:r>
        <w:rPr>
          <w:b/>
        </w:rPr>
        <w:t xml:space="preserve">Quelle: </w:t>
      </w:r>
      <w:r>
        <w:t>https://mcp.opencaselaw.ch/entscheid/ge_gerichte_ATAS_867_2014</w:t>
      </w:r>
    </w:p>
    <w:p>
      <w:r>
        <w:t>FR: GE_GERICHTE ATAS/867/2014 du 16 juillet 2014</w:t>
      </w:r>
    </w:p>
    <w:p>
      <w:r>
        <w:t>IT: GE_GERICHTE ATAS/867/2014 del 16 luglio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A/343/2014 - 10/17 -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LPGA ; art. 89B de la loi sur la procédure administrative du 12 septembre 1985. LPA ; RS/GE E 5 10).</w:t>
      </w:r>
    </w:p>
    <w:p>
      <w:r>
        <w:rPr>
          <w:b/>
        </w:rPr>
        <w:t>E. 5</w:t>
      </w:r>
    </w:p>
    <w:p>
      <w:r>
        <w:t>Le litige porte sur le droit de la recourante à une rente de l’assurance-invalidité, singulièrement sur le degré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w:t>
      </w:r>
    </w:p>
    <w:p>
      <w:r>
        <w:t>A/343/2014 - 11/17 -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A/343/2014 - 12/17 -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9</w:t>
      </w:r>
    </w:p>
    <w:p>
      <w:r>
        <w:t>En l’espèce, il résulte des documents médicaux figurant au dossier que la recourante souffre depuis plusieurs années d’une grave dystonie cervicale avec un torticolis spasmodique. En outre, depuis 2005, elle présente un état dépressif suite à un épuisement professionnel, avec des attaques de panique. a) Sur le plan neurologique, les diagnostics retenus par les médecins neurologues traitants et l’expert, le Dr J______, sont identiques, à savoir une dystonie cervicale sévère (torticolis spasmodique). Concernant les limitations fonctionnelles, le Dr D______ indique que la recourante présente une limitation physique majeure provoquée par la dystonie cervicale douloureuse, que les capacités de concentration, d’adaptation et de résistance sont limitées en relation avec la douleur et la contracture cervicale ainsi que l’état dépressif, en tout cas depuis novembre 2006. Dans son rapport du 16 décembre 2010, le Prof. C______ indique qu’il suit la patiente depuis 1999 et lui a administré un traitement de Botulinumtoxin (Botox), de telle sorte que la patiente a pu continuer à travailler. En 2006-2007, des symptômes psychiques, avec attaques de panique, sont survenus et depuis octobre 2009, la dystonie s’est de nouveau aggravée, avec un torticolis massif latéral gauche, ainsi qu’une dystonie de la musculature paravertébrale et du muscle pectoral gauches. Au regard de la symptomatologie, la patiente est sévèrement limitée. A cela s’ajoutent des difficultés psychiatriques qui sont en partie réactionnelles (signes de dépression et d’anxiété), à évaluer. L’expert neurologue, le Dr K______, considère également que le torticolis spasmodique dans le cadre d’une dystonie sévère entraîne des limitations. Pour ce qui est de la capacité de travail, les médecins traitants (les Drs D______, médecine interne, E______, psychiatre, H______, neurologue et psychiatre, ainsi que le Prof. C______, neurologue) sont unanimes à considérer que la recourante est incapable de travailler à 100 % dans son activité habituelle depuis novembre 2006, respectivement janvier 2007, en raison de ses atteintes à la santé physique et psychique. Ils considèrent de surcroît qu’aucune autre activité n’est adaptée à son état de santé et à ses limitations fonctionnelles. En effet, contrairement à ce que le SMR soutient, le Prof. C______, en répondant à la question no. 6 du rapport du 31 octobre 2011, a en réalité voulu parler d’une incapacité de travail de 100% depuis le 1er janvier 2007 et non pas d’une capacité de travail, ce qui ressort de ses autres</w:t>
      </w:r>
    </w:p>
    <w:p>
      <w:r>
        <w:t>A/343/2014 - 13/17 - observations (voir réponse à la question 5 :… « Eine Arbeitsfähigkeit in irgendeinem Beruf ist aufgrund dieser Behinderung nicht mehr zumutbar »), ainsi que de ses différents rapports médicaux. Ce point a d’ailleurs été relevé par l’expert neurologue. Le Dr K______, dans son rapport d’expertise du 14 décembre 2012, a noté à l’examen neuropsychologique notamment un score hautement significatif de la lignée anxio-dépressive, un fléchissement en mémoire antérograde verbale, une altération des capacités attentionnelles et un défaut d’incitation non verbale et d’inhibition sans autre altération des fonctions exécutives. Sur le plan neurologique, l’expert considère que la capacité de travail comme conseillère en marketing ou toute autre activité de bureau est limitée à 50 %, sans tenir compte des éléments psychiatriques, à raison de 4 heures par jour, si possible fractionnées. Une activité plus physique serait encore plus sévèrement limitée de 80 à 100 %. Selon l’expert, il n’y a pas d’autre activité adaptée aux limitations fonctionnelles. L’incapacité de travail est justifiée médicalement depuis 5 ans environ. Le pronostic est celui d’une stabilité ou d’une péjoration ultérieure. Force est ainsi de constater que l’expert neurologue estime la capacité de travail à 50 % en indiquant expressément que son appréciation ne tient pas compte de l’aspect psychiatrique, qu’il convient d’évaluer, alors que les médecins traitants prennent en compte l’ensemble des atteintes à la santé, à la fois sur le plan somatique et psychique, pour conclure à une incapacité de travail totale dans toute activité. Il convient d’examiner quelles sont les conclusions des médecins psychiatres, respectivement de l’expert psychiatre. b) Du point de vue psychiatrique, la chambre de céans constate qu’aussi bien les diagnostics posés que l’évaluation de la capacité de travail par les psychiatres ne sont pas concordants. Dans ses rapports adressés à l’intimé en date des 15 mars et 15 septembre 2011, le Dr E______, psychiatre traitant, qui a suivi la recourante depuis le mois d’avril 2007, pose le diagnostic d’état dépressif récurrent d’intensité moyenne d’épuisement professionnel, avec syndrome somatique et attaques de panique. Les capacités de concentration, d’adaptation et de résistance sont limitées. L’incapacité de travail est totale dans l’activité habituelle, qui n’est plus exigible, et il n’y a pas d’activité adaptée. En revanche, selon un certificat médical daté du 28 novembre 2007 destiné à l’assureur perte de gain, le psychiatre traitant indique que la recourante peut reprendre une activité professionnelle à 100 % depuis le 1er décembre 2007. Enfin, lors d’un entretien téléphonique avec l’expert I______- VIRET en date du 12 mars 2012, le psychiatre traitant indique qu’il avait signé un arrêt de travail à 100 % d’août 2007 à fin novembre 2007, puis plus, car la patiente n’avait plus d’activité professionnelle. Interrogé par l’expert psychiatre sur la capacité de travail, alors que le suivi avait cessé le 19 octobre 2010, avec une</w:t>
      </w:r>
    </w:p>
    <w:p>
      <w:r>
        <w:t>A/343/2014 - 14/17 - consultation encore le 10 février 2011, le Dr E______ indique « je pense qu’elle aurait eu une capacité de travail si elle avait eu une activité. Concernant son activité indépendante, cela me semble difficile vu son manque de punch ». La chambre de céans constate que les appréciations du Dr E______ quant à la capacité de travail sont pour le moins contradictoires. Le Dr G______, expert mandaté par l’assureur perte de gain, diagnostique le 19 juillet 2007, un épisode dépressif moyen sans syndrome somatique, bien que ce dernier ne soit pas tout à fait clair. Il ne fait pas état d’attaques de panique avant le mois de novembre 2006. Il a évalué la capacité de travail à 50 %, car l’expertisée peut mener à bien une bonne partie de ses activités habituelles ; cette capacité pourrait s’avérer pleine et entière après un traitement bien conduit. Une activité adaptée n’entre pas en ligne de compte, car l’état dépressif d’intensité moyenne la prétérite tant physiquement que psychologiquement. Là aussi, les conclusions de cet expert sont incomplètes, dans la mesure où le diagnostic n’est pas clairement établi, qu’il ne se prononce pas clairement sur les limitations fonctionnelles et qu’il évalue la capacité de travail à 50 % en se référant aux « activités habituelles », sans autre précision. L’expertise précitée ne saurait ainsi revêtir pleine valeur probante. De son côté, le Dr H______, neuropsychiatre, explique dans son rapport du 29 novembre 2011 qu’il suit la recourante à sa consultation depuis 1993. Il signale des premières attaques de panique en 1972 et 1990, une péjoration de la symptomatologie due à la dystonie, de même que du point de vue psychique en 2007 et 2008. En 2009, il note une aggravation, avec attaque de panique. Depuis début 2011, elle ne présente plus d’épisode dépressif sévère. Les limitations fonctionnelles d’ordre cognitif sont notamment les capacités de concentration et de résistance. Il pose le diagnostic de trouble dépressif récurrent, actuellement de degré moyen, avec trouble panique. Selon ce médecin, l’incapacité de travail est durable depuis début 2007. Mandatée pour expertise, la Dresse I______ retient dans son rapport du 19 mars 2012 le diagnostic d’épisode dépressif moyen, sans syndrome somatique. Selon l’expert, un trouble dépressif récurrent ne peut être retenu, car il s’agit du même épisode dépressif et non de plusieurs épisodes entrecoupés de périodes de rémission. Les attaques de panique sont présentes, mais épisodiques. Les limitations fonctionnelles sur le plan psychique sont les suivantes : abaissement de la thymie, anhédonie, ralentissement psychomoteur, difficultés à se concentrer et à soutenir son attention et réduction des capacités d’adaptation et d’apprentissage. L’expert estime que ces limitations interfèrent de 50% depuis novembre 2006 dans l’activité de consultante en marketing, soit 4 heures par jour, fractionnées si nécessaire, et de 30 % dans une activité adaptée, nécessitant peu de stress et de responsabilité. A la fin de son rapport, l’expert indique que d’autres activités sont exigibles de la part de l’assurée, pour autant qu’elles s’exercent dans un premier temps à 70% dans une activité avec absence de stress, de responsabilité, d’adaptabilité et de concentration.</w:t>
      </w:r>
    </w:p>
    <w:p>
      <w:r>
        <w:t>A/343/2014 - 15/17 - La chambre de céans relève en premier lieu que les explications de l’expert quant au diagnostic apparaissent contradictoires ; en effet, il s’agirait d’un même épisode dépressif, alors qu’en page 15 de son rapport, elle note que la recourante a présenté en avril 2005 un trouble de l’adaptation avec réaction mixte, anxieuse et dépressive ayant nécessité un arrêt de travail d’un mois. Elle n’explique pas non plus pour quelle raison elle s’écarte du degré de sévérité relaté par le Dr H______ depuis 2007, alors que les limitations fonctionnelles sont pratiquement les mêmes. Concernant la capacité de travail, l’expert l’estime à 50 % dans l’activité habituelle. Or, au vu du cahier des charges de la recourante et de la description des tâches décrites de manière détaillée par l’employeur dans son certificat de travail du 25 janvier 2008, l’activité habituelle de la recourante était à l’évidence celle d’un cadre supérieur hautement qualifié, exerçant des responsabilités dans plusieurs domaines, soit une activité exigeante nécessitant une grande force de travail. Au regard des seules limitations psychiques, on peine à comprendre les conclusions de l’expert, en contradiction avec ses propres constatations. Il en va de même en ce qui concerne l’exigibilité dans une activité adaptée (50 % ? 70 % ?). Ces contradictions sont propres à jeter le doute quant à la valeur probante de l’expertise. Enfin, la chambre de céans relève que les deux experts mandatés par l’intimé se sont prononcés séparément sur les atteintes à la santé et sur la capacité de travail, chacun au regard de sa spécialité. Il n’y a pas eu d’expertise pluridisciplinaire, ni même un consilium entre les experts pour évaluer de manière globale quelles sont les répercussions des atteintes à la santé somatiques et psychiques sur la capacité de travail de la recourante. Quant au problème oculaire, à savoir l’absence de vision centrale de l’œil gauche qui aurait déjà entraîné des chutes, on ignore s’il implique des limitations et quelles en sont les conséquences sur la capacité de travail. Aucun médecin ne s’est prononcé à cet égard. De surcroît, l’aggravation signalée depuis environ deux ans par le Prof. C______ dans son rapport du 24 octobre 2013, à savoir une dystonie musculaire du visage, des tremblements de la tête (Kopftremor), des migraines avec aura entraînant de sévères limitations et une incapacité de travail totale dans toute activité, n’a pas été discutée par l’intimé. Quoi qu’il en soit, au regard des limitations physiques et psychiques, l’activité antérieure n’apparaît plus exigible et c’est à tort que l’intimé a retenu que la recourante présentait une capacité de travail de 50 % dans l’activité habituelle. Au vu de ce qui précède, la chambre de céans n’est pas en mesure de tirer des conclusions définitives quant aux atteintes à la santé présentées par la recourante et leurs conséquences sur sa capacité de travail, notamment sur le plan de l’exigibilité dans une activité adaptée. La cause sera par conséquent renvoyée à l’intimé pour instruction complémentaire. Il lui incombera de mettre en œuvre une expertise pluridisciplinaire afin que les experts se prononcent sur toutes les atteintes à la santé présentées par la recourante et leur évolution depuis novembre 2006, qu’ils décrivent les limitations fonctionnelles et se prononcent, en consilium, sur la capacité de travail résiduelle.</w:t>
      </w:r>
    </w:p>
    <w:p>
      <w:r>
        <w:t>A/343/2014 - 16/17 -</w:t>
      </w:r>
    </w:p>
    <w:p>
      <w:r>
        <w:rPr>
          <w:b/>
        </w:rPr>
        <w:t>E. 10</w:t>
      </w:r>
    </w:p>
    <w:p>
      <w:r>
        <w:t>Une fois fixé sur la capacité de travail, il conviendra de procéder au calcul du degré d’invalidité conformément à l’art. 16 LPGA (cf. art. 28a LAI) et de comparer le revenu que la recourante aurait pu obtenir si elle n’était pas invalide avec celui qu’elle pourrait obtenir en exerçant l’activité qui peut être raisonnablement exigée d’elle après les traitements et les mesures de réadaptation, sur un marché du travail équilibré. Il sied de rappeler que la comparaison des revenus s'effectue, en règle ordinaire, en chiffrant aussi exactement que possible les montants de ces deux revenus et en les confrontant l'un avec l'autre, la différence permettant de calculer le taux d'invalidité (ATF 128 V 29 consid. 1; ATF 104 V 135 consid. 2a et 2b).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 l’occurrence, le moment de la survenance de l’invalidité est novembre 2007, conformément à l’art. 29 al. 1 let. b LAI, en sa teneur en vigueur jusqu’au 31 décembre 2007, date à laquelle la rente d’invalidité a pris naissance. La comparaison des gains devra ainsi s’effectuer en 2007. Dans la mesure où l’activité habituelle de cadre supérieur n’apparaît plus exigible, comme vu supra, et pour autant qu’il subsiste une capacité de travail résiduelle dans une activité lucrative adaptée – que l’intimé devra définir -, il conviendra de procéder à la comparaison des gains. Dans ce cadre, l’intimé devra notamment instruire la question du salaire sans invalidité, au vu des différences relevées entre les CI, les renseignements communiqués par l’employeur et les chiffres ressortant des déclarations de salaires annuelles. Pour le surplus, la recourante ayant déposé sa demande de prestations le 13 janvier 2011 seulement, c’est à juste titre que l’intimé a octroyé la rente d’invalidité dès le 1er juillet 2011, soit au plus tôt à l’échéance du délai de six mois dès le dépôt de la demande (cf. art. 29 al. 1 LAI, nouvelle teneur selon le ch. I de la LF du 6 octobre 2006 [5ème révision AI], en vigueur depuis le 1er janvier 2008).</w:t>
      </w:r>
    </w:p>
    <w:p>
      <w:r>
        <w:rPr>
          <w:b/>
        </w:rPr>
        <w:t>E. 11</w:t>
      </w:r>
    </w:p>
    <w:p>
      <w:r>
        <w:t>Au vu des considérations qui précèdent, le recours est partiellement admis, la décision annulée en tant qu’elle fixe le degré d’invalidité à 50 % et la cause renvoyée à l’intimé pour instruction complémentaire au sens des considérants et nouvelle décision.</w:t>
      </w:r>
    </w:p>
    <w:p>
      <w:r>
        <w:rPr>
          <w:b/>
        </w:rPr>
        <w:t>E. 12</w:t>
      </w:r>
    </w:p>
    <w:p>
      <w:r>
        <w:t>La recourante, représentée par un mandataire, a droit à une indemnité à titre de participation à ses frais et dépens, fixée à CHF 1'500.- (art. 62 let. g LPGA ; art. 6 du règlement sur les frais, émoluments et indemnités en procédure administrative du 30 juillet 1986 - RFPA ; RS/GE E 5 10.03). Au vu du sort du litige, l’émolument, arrêté à CHF 500.-, est mis à la charge de l’intimé (art. 69al. 1bis LAI).</w:t>
      </w:r>
    </w:p>
    <w:p>
      <w:r>
        <w:t>A/343/2014 - 17/17 -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