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ATAS/866/2018 vom 2. Oktober 2018</w:t>
      </w:r>
    </w:p>
    <w:p>
      <w:r>
        <w:t>GE Cour de justice, 2018-10-02, FR</w:t>
      </w:r>
    </w:p>
    <w:p>
      <w:r>
        <w:rPr>
          <w:b/>
        </w:rPr>
        <w:t xml:space="preserve">Quelle: </w:t>
      </w:r>
      <w:r>
        <w:t>https://mcp.opencaselaw.ch/entscheid/ge_gerichte_ATAS_866_2018</w:t>
      </w:r>
    </w:p>
    <w:p>
      <w:r>
        <w:t>FR: GE_GERICHTE ATAS/866/2018 du 2 octobre 2018</w:t>
      </w:r>
    </w:p>
    <w:p>
      <w:r>
        <w:t>IT: GE_GERICHTE ATAS/866/2018 del 2 ottobre 2018</w:t>
      </w:r>
    </w:p>
    <w:p>
      <w:pPr>
        <w:pStyle w:val="Heading2"/>
      </w:pPr>
      <w:r>
        <w:t>Erwägungen</w:t>
      </w:r>
    </w:p>
    <w:p>
      <w:r>
        <w:rPr>
          <w:b/>
        </w:rPr>
        <w:t>E. 8</w:t>
      </w:r>
    </w:p>
    <w:p>
      <w:r>
        <w:t>La société, représentée par Me Aurèle MULLER, a formé opposition le 4 septembre 2017 contre ladite décision.</w:t>
      </w:r>
    </w:p>
    <w:p>
      <w:r>
        <w:t>A/66/2018 - 3/13 - Elle rappelle qu’elle a été contrainte de licencier l’assuré en raison de son comportement « perturbant et désorganisant le bon fonctionnement de l’entreprise », d’une part, et qu’elle subit de sérieuses difficultés économiques, d’autre part. La continuation des rapports de travail était pour ces deux raisons insupportable pour la société, de sorte qu’elle n’avait pas eu d’autre choix que de procéder au licenciement. Elle s’étonne de ce que l’OCE n’ait pas attiré son attention sur le fait qu’elle pourrait être tenue au remboursement des ARE versées lorsqu’elle lui a fait part de son intention de résilier le contrat de l’assuré. Elle rappelle enfin que la seconde condition de l’art. 48 b al. 2 LMC est réalisée, en ce sens que si la décision de restitution des ARE devait être maintenue, le dépôt du bilan serait inévitable. Elle conclut, préalablement, à l’audition de Monsieur C______, administrateur unique, et, principalement, à l’annulation de la décision en restitution.</w:t>
      </w:r>
    </w:p>
    <w:p>
      <w:r>
        <w:rPr>
          <w:b/>
        </w:rPr>
        <w:t>E. 9</w:t>
      </w:r>
    </w:p>
    <w:p>
      <w:r>
        <w:t>Par décision sur opposition du 24 novembre 2017, l’OCE, rappelant que la société n’ayant pas prêté toute l’attention que l’on était en droit d’attendre d’elle ou de toute personne raisonnable se trouvant dans la même situation, avait commis une négligence grave, de sorte que la condition de la bonne foi ne pouvait pas lui être reconnue. Aussi a-t-elle rejeté l’opposition.</w:t>
      </w:r>
    </w:p>
    <w:p>
      <w:r>
        <w:rPr>
          <w:b/>
        </w:rPr>
        <w:t>E. 10</w:t>
      </w:r>
    </w:p>
    <w:p>
      <w:r>
        <w:t>La société a interjeté recours le 11 janvier 2018 contre ladite décision. Elle reprend les arguments déjà développés dans son opposition du 4 septembre 2017, affirmant plus particulièrement que lorsqu’elle a informé l’OCE, soit Madame D______, de sa décision de mettre un terme au contrat de l’assuré, celle-ci lui a répondu qu’il suffisait de cesser d’envoyer les factures mensuelles à l’OCE, sans attirer son attention sur l’obligation de restituer les montants déjà reçus, et conclut à l’annulation de la décision de l’OCE.</w:t>
      </w:r>
    </w:p>
    <w:p>
      <w:r>
        <w:rPr>
          <w:b/>
        </w:rPr>
        <w:t>E. 11</w:t>
      </w:r>
    </w:p>
    <w:p>
      <w:r>
        <w:t>Dans sa réponse du 8 février 2018, l’OCE a proposé le rejet du recours. Il a relevé que la société n’avait pas démontré avoir pris contact ni obtenu de mauvais renseignements de la part de l’OCE avant de procéder au licenciement de son employé, précisant que la collaboratrice mentionnée dans le recours, est employée au service de comptabilité et ne pouvait dès lors fournir à la société des renseignements sur les conditions d’octroi ou de révocation des allocations de retour en emploi.</w:t>
      </w:r>
    </w:p>
    <w:p>
      <w:r>
        <w:rPr>
          <w:b/>
        </w:rPr>
        <w:t>E. 12</w:t>
      </w:r>
    </w:p>
    <w:p>
      <w:r>
        <w:t>La chambre de céans a ordonné la comparution personnelle des parties le 11 septembre 2018. Elles ont déclaré que « M. C______ : Nous avons pris contact avec Mme D______, parce que nous n’avions eu à faire qu’à elle depuis l’octroi de l’ARE. Lorsque j’avais une question à poser, je m’adressais à elle. Je lui ai téléphoné pour l’informer de notre intention et elle m’a simplement répondu que je ne devais plus envoyer les factures relatives à l’ARE chaque mois. Elle ne m’a rien dit d’autre.</w:t>
      </w:r>
    </w:p>
    <w:p>
      <w:r>
        <w:t>A/66/2018 - 4/13 - Nous avions bien pris note de ce qui est indiqué dans le formulaire de demande ARE. Nous l’avions toutefois compris, en ce sens que si l’employé était licencié pour de justes motifs, il n’y avait pas à restituer les prestations reçues. Nous avons pensé que nous avions de justes motifs. Nous aurions dû le licencier avec effet immédiat. Nous n’étions pas satisfaits du travail fourni par cet employé. Nous avons voulu le former, mais cette formation n’a pas donné les résultats escomptés. Les clients s’en sont plaints. C’est la raison pour laquelle nous avons attendu quelques temps. Nous avons décidé de le licencier avant la fin de la mesure. Nous ne nous attendions pas à une réaction de la sorte de l’OCE. Ce n’est pas moi qui ai appelé Mme D______, c’est mon assistante. Je ne sais pas si elle a donné des explications sur les raisons pour lesquelles nous envisagions de licencier l’employé. La société existe depuis une trentaine d’années. Elle emploie de nombreux salariés. Nous n’avons jamais eu de problèmes avec les Prud’Hommes. La société ne pourra supporter une dette de CHF 95'000.-. Nous devrons déposer le bilan. Mme E______ : J’aurais souhaité savoir pour quelle raison l’argument relatif à la demande de renseignements par téléphone n’a été invoqué que tardivement. M. C______ : Parce que nous n’avons pas pensé tout de suite à le dire. Pour nous, nous avions agi correctement. L’appel téléphonique est intervenu un peu avant le licenciement. Mme E______ : Mme D______ est à présent à la retraite. Elle travaillait au service administratif et financier. C’est avec ce service que les employeurs ont contact puisqu’ils lui adressent les factures mensuellement. Les personnes qui travaillent dans ce service sont supposées dire à l’employeur qu’il faut s’adresser au service de l’ARE. Quoi qu’il en soit, l’OCE conteste qu’il y ait eu un appel téléphonique. M. C______ : Je précise que ce n’est que lorsque nous avons rédigé le recours du 31 octobre 2016, que nous avions compris la différence entre licenciement ordinaire et licenciement pour justes motifs ».</w:t>
      </w:r>
    </w:p>
    <w:p>
      <w:r>
        <w:rPr>
          <w:b/>
        </w:rPr>
        <w:t>E. 13</w:t>
      </w:r>
    </w:p>
    <w:p>
      <w:r>
        <w:t>Ce courrier a été transmis à la société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w:t>
      </w:r>
    </w:p>
    <w:p>
      <w:r>
        <w:t>A/66/2018 - 5/13 - conformément à l'art. 134 al. 3 let. b LOJ, des contestations prévues à l'art. 49 de la loi en matière de chômage du 11 novembre 1983 (LMC - J 2 20) en matière de prestations cantonales complémentaires de chômage. Sa compétence pour juger du cas d’espèce est ainsi établie. 2. La décision querellée a trait aux prestations cantonales complémentaires de chômage prévues par la LMC. Cette dernière ne contenant aucune norme de renvoi, la LPGA n’est pas applicable (cf. art. 1 et 2 LPGA). 3. Interjeté dans les forme et le délai prévus par la loi, le recours est recevable (cf. art. 49 al. 3 LMC et art. 89B de la loi sur la procédure administrative du 12 septembre 1985 [LPA - E 5 10]). 4. Le litige porte sur le refus de l’OCE d’accorder à l’employeur la remise de l’obligation de rembourser la somme de CHF 95'429.05, représentant les prestations de l’ARE versées à tort, étant rappelé que la décision sur opposition du 30 septembre 2016, fixant le principe et le montant de la restitution et confirmée par l’arrêt de la chambre de céans du 14 février 2017, est entrée en force. 5. 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6. a. Aux termes de l’art. 48B LMC,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 l’intéressé, lorsque celui-ci est de bonne foi et que la restitution le mettrait dans une situation financière difficile. 3 Le droit de demander la restitution s'éteint un an après le moment où l'autorité compétente a eu connaissance du fait, mais au plus tard cinq ans après le versement de la prestation ». Cette disposition reprend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w:t>
      </w:r>
    </w:p>
    <w:p>
      <w:r>
        <w:t>A/66/2018 - 6/13 - suivre ou sur le fond (ATAS/376/2016 du 17 mai 2016 consid. 4a), même s’il paraît laisser un pouvoir d’appréciation à l’autorité lorsque les deux conditions d’une remise sont remplies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7.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w:t>
      </w:r>
    </w:p>
    <w:p>
      <w:r>
        <w:t>A/66/2018 - 7/13 - malicieuse mais encore d’aucune négligence grave. La bonne foi doit être niée quand l'enrichi pouvait, au moment du versement, s'attendre à son obligation de restituer, parce qu'il savait ou devait savoir, en faisant preuve de l'attention requise, que la prestation était indue (art. 3 al. 2 CC; ATF 130 V 414 consid. 4.3 p. 419 sv ; art. 3 al. 2 CC; Gilles PETITPIERRE in: THÉVENOZ/WERRO, Commentaire romand, Code des obligations I, n. 5 ad art. 62, n. 9 ad art. 64; HERMANN SCHULIN in: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w:t>
      </w:r>
    </w:p>
    <w:p>
      <w:r>
        <w:t>A/66/2018 - 8/13 -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w:t>
      </w:r>
    </w:p>
    <w:p>
      <w:r>
        <w:rPr>
          <w:b/>
        </w:rPr>
        <w:t>E. 14</w:t>
      </w:r>
    </w:p>
    <w:p>
      <w:r>
        <w:t>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Le devoir de conseil de l’assureur social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8.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w:t>
      </w:r>
    </w:p>
    <w:p>
      <w:r>
        <w:t>A/66/2018 - 9/13 -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la société qui était au bénéfice d’une ARE du 16 septembre 2014 au</w:t>
      </w:r>
    </w:p>
    <w:p>
      <w:r>
        <w:rPr>
          <w:b/>
        </w:rPr>
        <w:t>E. 15</w:t>
      </w:r>
    </w:p>
    <w:p>
      <w:r>
        <w:t>septembre 2016, soit plus de six mois après. De surcroît, la société déclare au contraire avoir bien pris note de ce qui est indiqué dans le formulaire de demande ARE. 11. La société allègue qu’elle avait compris que si l’employé était licencié pour de justes motifs, il n’y avait pas à restituer les prestations reçues, précisant à cet égard que « nous avons pensé que nous avions de justes motifs. Nous aurions dû le licencier avec effet immédiat. Je précise que ce n’est que lorsque nous avons rédigé le recours du 31 octobre 2016, que nous avons compris la différence entre licenciement ordinaire et licenciement pour justes motifs ». Il y a lieu de rappeler que dans son arrêt du 14 décembre 2017, la chambre de céans a constaté que la société avait renoncé à se prévaloir d’un licenciement pour justes motifs et en a conclu que celle-ci avait mis fin au contrat de travail avant l’échéance de la mesure, sans qu’il y ait justes motifs au sens de l’art. 337 CO. On ne saurait dès lors revenir sur ce point. Il s’agit en revanche de déterminer dans le cadre de l’examen des conditions de la remise, si, lorsque l’employeur part de l’idée que le</w:t>
      </w:r>
    </w:p>
    <w:p>
      <w:r>
        <w:t>A/66/2018 - 11/13 - licenciement était fondé sur de justes motifs, en ce sens qu’il avait de bonnes raisons de se séparer de l’employé, sans qu’il puisse être fait application de l’art. 337 CO, cet employeur peut être considéré comme ayant été de bonne foi. La question de savoir s’il remplit la condition de la bonne foi à laquelle une remise de l’obligation de restituer est subordonnée doit s’examiner au regard de sa conscience effective d’enfreindre ses obligations et le cas échéant de la gravité de la négligence commise, à apprécier d’après les circonstances du cas d’espèce. Il paraît à cet égard difficile de considérer que les responsables de la société puissent ne pas faire la différence entre un licenciement pour justes motifs au sens de l’art. 337 CO et un licenciement « ordinaire », alors que la société emploie de nombreux salariés depuis de nombreuses années. Du reste, même si l’on admettait qu’ils aient pris le terme de « justes motifs » figurant dans la demande d’ARE comme étant un terme général sans référence à une disposition légale, on ne saurait considérer qu’ils aient compris a contrario que ce n’est que s’il licenciait un employé sans aucune raison qu’ils seraient tenus à rembourser les allocations ARE. 12. a. La société fait enfin valoir qu’elle a voulu informer l’OCE de sa décision de mettre un terme au contrat de l’assuré et que lorsqu’elle l’a fait, une collaboratrice de l’OCE lui a répondu qu’il suffisait de cesser d’envoyer les factures mensuelles à l’OCE, sans lui rappeler qu’elle aurait ensuite l’obligation de restituer les montants déjà reçus.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w:t>
      </w:r>
    </w:p>
    <w:p>
      <w:r>
        <w:t>A/66/2018 - 12/13 - 4.1 ; ATF 126 II 377 consid. 3a et les références citées). Une autorité ne peut toutefois pas valablement promettre le fait d’une autre autorité (arrêt du Tribunal fédéral des assurances K 7/04 du 27 janvier 2005 consid. 3.1). c. En l’espèce, l’OCE a relevé que la société n’avait pas démontré avoir pris contact avec la collaboratrice dont il mentionne le nom dans le recours avant de procéder au licenciement de l’assuré, ajoutant que celle-ci est employée au service de comptabilité, et ne pouvait dès lors fournir à la société des renseignements sur les conditions d’octroi ou de révocation des allocations de retour en emploi. La société, soit pour elle M. C______, a toutefois précisé, lors de l’audience du 11 septembre 2018, que son épouse avait appelé cette collaboratrice, parce que c’est à elle qu’elle s’adressait toujours lorsqu’elle avait un problème au sujet de l’ARE. Il apparaît ainsi vraisemblable, au degré requis par la jurisprudence, que l’épouse ait bel et bien appelé la personne avec laquelle la société était en contact pour le paiement des factures. Il est également vraisemblable que l’épouse n’ait pas fait la différence entre un collaborateur du service administratif et financier et un collaborateur du service de l’ARE. On ignore toutefois ce qui s’est dit lors de l’entretien téléphonique en question. La représentante de l’OCE a confirmé que « c’est avec ce service que les employeurs ont contact puisqu’ils lui adressent les factures mensuellement », tout en précisant que, pour toute question autre que celles relatives aux factures, « les personnes qui travaillent dans ce service sont supposées dire à l’employeur qu’il faut s’adresser au service de l’ARE ». Selon la société, la collaboratrice approchée s’est bornée à indiquer que la société ne devait dorénavant plus envoyer les factures relatives à l’ARE chaque mois. M. C______ a à cet égard reconnu qu’il ne savait pas si son épouse avait donné des explications sur les raisons pour lesquelles la société envisageait de licencier l’assuré. On ne sait pas non plus si l’épouse a interrogé la collaboratrice sur ce qu’il fallait entendre par les « justes motifs » mentionnés dans la formule de demande ARE. Il paraît hautement vraisemblable que tel n’a pas été le cas, puisque la collaboratrice n’a pas jugé utile de lui conseiller de poser la question au service de l’ARE. 13. Il résulte de ce qui précède que la société a commis une négligence grave à teneur de la jurisprudence précitée et ne remplit pas la condition juridique de la bonne foi. C’est dès lors à juste titre que la remise de l’obligation de restituer les ARE a été refusée. 14. Partant, le recours sera rejeté.</w:t>
      </w:r>
    </w:p>
    <w:p>
      <w:r>
        <w:t>A/66/2018 - 13/13 -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