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ATAS/866/2015 vom 17. November 2015</w:t>
      </w:r>
    </w:p>
    <w:p>
      <w:r>
        <w:t>GE Cour de justice, 2015-11-17, FR</w:t>
      </w:r>
    </w:p>
    <w:p>
      <w:r>
        <w:rPr>
          <w:b/>
        </w:rPr>
        <w:t xml:space="preserve">Quelle: </w:t>
      </w:r>
      <w:r>
        <w:t>https://mcp.opencaselaw.ch/entscheid/ge_gerichte_ATAS_866_2015</w:t>
      </w:r>
    </w:p>
    <w:p>
      <w:r>
        <w:t>FR: GE_GERICHTE ATAS/866/2015 du 17 novembre 2015</w:t>
      </w:r>
    </w:p>
    <w:p>
      <w:r>
        <w:t>IT: GE_GERICHTE ATAS/866/2015 del 17 novembre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entre le 17 mai 2003 et le 31 décembre 2014.</w:t>
      </w:r>
    </w:p>
    <w:p>
      <w:r>
        <w:rPr>
          <w:b/>
        </w:rPr>
        <w:t>E. 4</w:t>
      </w:r>
    </w:p>
    <w:p>
      <w:r>
        <w:t>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w:t>
      </w:r>
    </w:p>
    <w:p>
      <w:r>
        <w:t>A/3053/2015 4/5 pas exclu que les parties déclarent par convention ou accord en cours de procédure qu’une date antérieure à l’entrée en force du jugement est déterminante afin de permettre un calcul pendant la procédure de divorce (ATF 132 V 236, consid. 2.3, p. 239 et les références ; arrêt du Tribunal fédéral B 26/06 du 1er mars 2007). La pratique admet ainsi que les parties choisissent un moment antérieur pour le calcul de la prestation de sortie à partager (ATF 132 V 240 ; ATAS/700/2015 et ATAS/171/2015). Dans ce cas, l’institution de prévoyance doit calculer l’intérêt sur l’avoir en question au profit du conjoint bénéficiaire du partage de la prévoyance à partir de ce moment antérieur (ATF 129 V 257 ; Commentaire Stämpfli, LPP et LFLP - Lois fédérales sur la prévoyance professionnelle vieillesse, survivants et invalidité et sur le libre passage dans la prévoyance professionnelle vieillesse, survivants et invalidité, 2010, art. 22 LFLP, p. 1577). Tel est le cas en l’espèce, les demandeurs ayant expressément convenu que la date du partage soit arrêtée au 31 décembre 2014, ce que le juge du divorce a ratifié au chiffre 9 du dispositif du jugement de divorce.</w:t>
      </w:r>
    </w:p>
    <w:p>
      <w:r>
        <w:rPr>
          <w:b/>
        </w:rPr>
        <w:t>E. 5</w:t>
      </w:r>
    </w:p>
    <w:p>
      <w:r>
        <w:t>Selon les documents produits, la prestation acquise pendant le mariage par le demandeur est de CHF 62'143.97 (CHF 51'367.97 + CHF 10'776.-). Celle acquise par la demanderesse est de CHF 22'597.-, les intérêts ayant déjà été calculés par les institutions de prévoyance défenderesses. Ainsi le demandeur doit à son ex-épouse le montant de CHF 31'072.- (CHF 62'143.97 : 2) et celle-ci doit à celui-là le montant de CHF 11'298.50 (CHF 22’597 : 2), de sorte que c’est le demandeur qui doit à la demanderesse le montant de CHF 19'773.50 (CHF 31'072 – 11'298.50).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A/3053/2015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