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ATAS/866/2014 vom 16. Juli 2014</w:t>
      </w:r>
    </w:p>
    <w:p>
      <w:r>
        <w:t>GE Cour de justice, 2014-07-16, FR</w:t>
      </w:r>
    </w:p>
    <w:p>
      <w:r>
        <w:rPr>
          <w:b/>
        </w:rPr>
        <w:t xml:space="preserve">Quelle: </w:t>
      </w:r>
      <w:r>
        <w:t>https://mcp.opencaselaw.ch/entscheid/ge_gerichte_ATAS_866_2014</w:t>
      </w:r>
    </w:p>
    <w:p>
      <w:r>
        <w:t>FR: GE_GERICHTE ATAS/866/2014 du 16 juillet 2014</w:t>
      </w:r>
    </w:p>
    <w:p>
      <w:r>
        <w:t>IT: GE_GERICHTE ATAS/866/2014 del 16 luglio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 délai et la forme prescrits par la loi, le recours est recevable (art. 56 et 60 LPGA ; art. 89B de la loi sur la procédure administrative du 12 septembre 1985 – LPA ; RS/GE E 5 10).</w:t>
      </w:r>
    </w:p>
    <w:p>
      <w:r>
        <w:rPr>
          <w:b/>
        </w:rPr>
        <w:t>E. 3</w:t>
      </w:r>
    </w:p>
    <w:p>
      <w:r>
        <w:t>L’objet du litige consiste à déterminer si c’est à juste titre que l’intimé a refusé d’entrer en matière sur la demande déposée par le recourant en date du 30 septembre 2013.</w:t>
      </w:r>
    </w:p>
    <w:p>
      <w:r>
        <w:rPr>
          <w:b/>
        </w:rPr>
        <w:t>E. 4</w:t>
      </w:r>
    </w:p>
    <w:p>
      <w:r>
        <w:t>L’intimé a examiné la demande sous l’angle de la révision, plus particulièrement au regard de l’art. 87 al. 3 du règlement sur l’assurance-invalidité du 17 janvier 1961 (RAI, RS 831.201), à teneur duquel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Selon l’art. 87 al. 2 RAI, lorsqu’une demande de révision est déposée, celle-ci doit établir de façon plausible que l’invalidité, l’impotence ou l’étendue des soins ou du besoin d’aide découlant de l’invalidité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w:t>
      </w:r>
    </w:p>
    <w:p>
      <w:r>
        <w:t>A/555/2014 - 6/8 -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(ATF 130 V 64 ; arrêt 9C_959/2011 du 6 août 2012). Il ne sera donc pas tenu compte du rapport du Dr D______ produit postérieurement à la décision litigieuse dans la présente procédure.</w:t>
      </w:r>
    </w:p>
    <w:p>
      <w:r>
        <w:rPr>
          <w:b/>
        </w:rPr>
        <w:t>E. 5</w:t>
      </w:r>
    </w:p>
    <w:p>
      <w:r>
        <w:t>Selon l’intimé, au vu des documents médicaux produits, l’assuré n’a pas rendu plausible une aggravation de l’état de santé, raison pour laquelle il n’est pas entré en matière. La chambre de céans relève préalablement que la décision du 19 mars 2012 de refus du droit à la rente et à des mesures professionnelles a été rendue parce que le recourant avait recouvré une capacité de travail totale dans son activité habituelle dès le 23 janvier 2012, soit avant le délai d’attente d’un an prescrit par l’art. 28 al. 1 let. b et c LAI. Le recourant a toutefois déposé une nouvelle demande en raison d’une récidive de kystes dans le ligament croisé de son genou gauche, à la suite de laquelle il est de nouveau en incapacité de travail totale. Dans son fax adressé à l’OAI le 14 janvier 2014, le Dr B______ se réfère au rapport qui lui a été adressé par le Dr D______ en date du 6 décembre 2013 et indique qu’une réorientation professionnelle serait souhaitable. Dans son rapport précité, le Dr D______ indique que le patient a subi en mai 2013 une exérèse de kyste arthro-synovial à hauteur du LCA et du LCP du genou gauche et qu’au contrôle post-opératoire d’octobre 2013, soit à 5 mois de la chirurgie, le patient présentait encore des douleurs importantes et diffuses à hauteur de son genou et qu’il ne semblait pas avoir eu de bénéfice de la seconde prise en charge chirurgicale. L’IRM de contrôle du 29 octobre 2013 exclut la présence d’une récidive de lésion kystique à hauteur du pivot central, mais laisse suspecter la présence d’une lésion méniscale de la corne postérieure du ménisque externe. Le patient doit poursuivre sa rééducation (physiothérapie et hydrothérapie) et une reprise de travail est envisagée à 30 %, comme cuisinier, début 2014. Au vu de ce qui précède, force est de constater que le recourant a subi une intervention suite à une récidive, qu’une incapacité de travail s’en est suivie et</w:t>
      </w:r>
    </w:p>
    <w:p>
      <w:r>
        <w:t>A/555/2014 - 7/8 - qu’une reprise de travail dans l’activité habituelle n’est envisagée qu’à 30 % au début 2014. A la lumière de ces modifications médicales et de la nouvelle incapacité de travail en lien avec sa situation professionnelle, il convient de constater que le recourant a rendu plausible une modification des faits propres à modifier ses droits (cf. ATF 9C _251/2009 du 6 juillet 2009). Partant, c’est à tort que l’intimé n’est pas entré en matière sur la demande datée du 26 septembre 2013, adressée le 30 septembre.</w:t>
      </w:r>
    </w:p>
    <w:p>
      <w:r>
        <w:rPr>
          <w:b/>
        </w:rPr>
        <w:t>E. 6</w:t>
      </w:r>
    </w:p>
    <w:p>
      <w:r>
        <w:t>Bien fondé, le recours est admis. Pour le surplus, la procédure est gratuite et il n’y a pas lieu de percevoir un émolument (cf. art. 61 let. a LPGA ; art. 69 al.1bis LAI).</w:t>
      </w:r>
    </w:p>
    <w:p>
      <w:r>
        <w:t>A/555/2014 - 8/8 -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