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ATAS/866/2010 vom 16. August 2010</w:t>
      </w:r>
    </w:p>
    <w:p>
      <w:r>
        <w:t>GE Cour de justice, 2010-08-16, FR</w:t>
      </w:r>
    </w:p>
    <w:p>
      <w:r>
        <w:rPr>
          <w:b/>
        </w:rPr>
        <w:t xml:space="preserve">Quelle: </w:t>
      </w:r>
      <w:r>
        <w:t>https://mcp.opencaselaw.ch/entscheid/ge_gerichte_ATAS_866_2010</w:t>
      </w:r>
    </w:p>
    <w:p>
      <w:r>
        <w:t>FR: GE_GERICHTE ATAS/866/2010 du 16 août 2010</w:t>
      </w:r>
    </w:p>
    <w:p>
      <w:r>
        <w:t>IT: GE_GERICHTE ATAS/866/2010 del 16 agosto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en temps utile, le recours est recevable (art. 60 LPGA).</w:t>
      </w:r>
    </w:p>
    <w:p>
      <w:r>
        <w:rPr>
          <w:b/>
        </w:rPr>
        <w:t>E. 3</w:t>
      </w:r>
    </w:p>
    <w:p>
      <w:r>
        <w:t>Préalablement, il convient de joindre l'instruction des causes A/1786/2010 et A/1787/2010, vu leur connexité. L'objet du litige porte ainsi sur la suspension, d'une part, de 5 jours et, d'autre part, de 15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t>A/1787/2010 - 6/9 -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A/1787/2010 - 7/9 -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ne s'est pas présenté aux entretiens de conseil des 23 février et 24 mars 2010, sans avertir son conseiller de son absence, ni fournir d'excuse par la suite. Le recourant ne conteste pas ce fait. Il fait cependant valoir qu'il a tenté, en vain, de contacter son conseiller par téléphone, trois à quatre fois avant le 23 février ainsi que le jour du 24 mars 2010 et que la relation avec son conseiller était mauvaise, la situation étant très tendue. S'agissant de l'entretien de conseil du 23 février 2010, il ressort de la facture du Dr L__________, transmise par le recourant, que celui-ci s'est effectivement blessé au pied et qu'il a consulté ce médecin les 5 et 8 février 2010 et effectué un examen radiologique de l'avant-pied/orteil à cette dernière date. Selon les déclarations du recourant, cette blessure, survenue au plus tard le 5 février 2010, l'a empêché de marcher pendant une semaine, puis a restreint son périmètre de marche les jours suivants. Il n'est ainsi pas avéré qu'en date du 23 février 2010, soit plus de 15 jours après l'accident, le recourant n'aurait pas été en mesure de se déplacer pour participer à l'entretien de conseil convoqué ce jour-là. Même si tel avait été le cas, le recourant avait largement le temps de contacter, même par l'envoi d'un courrier, son conseiller en placement pour l'avertir de son empêchement ou s'en excuser ensuite, ce qu'il n'a pas fait. En conséquence, la sanction de 5 jours de suspension du droit à l'indemnité du recourant, laquelle correspond à la sanction minimale selon le barème du SECO, pour le premier manquement est justifiée. S'agissant de l'absence à l'entretien du conseil du 24 mars 2010, le recourant a indiqué qu'il avait dû garder ses enfants en urgence, ce que l'intimé ne conteste pas. Il avait tenté, en vain, de joindre son conseiller par téléphone le jour-même. Même si tel a été le cas, le recourant aurait dû excuser par la suite son absence en contactant son conseiller, ce qu'il n'a pas fait, au motif que la relation avec ce dernier était très tendue. A cet égard, il apparaît en effet, selon les déclarations du recourant en audience, que la relation entre celui-ci et son conseiller en personnel était tendue depuis</w:t>
      </w:r>
    </w:p>
    <w:p>
      <w:r>
        <w:t>A/1787/2010 - 8/9 - plusieurs mois et empêchait toute saine collaboration, ce que l'intimé n'a pas contesté. Le recourant a d'ailleurs précisé qu'il n'avait pas pris la peine de présenter des excuses pour les deux absences en cause en raison de la mauvaise relation avec son conseiller. Compte tenu de ce contexte particulier, il se justifie de ramener la quotité de la sanction de 15 à 9 jours, soit à la durée minimale prévue par le barème du SECO en cas de second manquement (circulaire D 72 op. cit.)</w:t>
      </w:r>
    </w:p>
    <w:p>
      <w:r>
        <w:rPr>
          <w:b/>
        </w:rPr>
        <w:t>E. 7</w:t>
      </w:r>
    </w:p>
    <w:p>
      <w:r>
        <w:t>Au vu de ce qui précède, le recours A/1786/2010 sera rejeté et le recours A/1787/2010 sera partiellement admis, la décision sur opposition du 22 avril 2010 étant réformée, en ce sens que la sanction est ramenée de 15 à 9 jours.</w:t>
      </w:r>
    </w:p>
    <w:p>
      <w:r>
        <w:t>A/1787/2010 - 9/9 -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