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ATAS/864/2023 vom 9. November 2023</w:t>
      </w:r>
    </w:p>
    <w:p>
      <w:r>
        <w:t>GE Cour de justice, 2023-11-09, FR</w:t>
      </w:r>
    </w:p>
    <w:p>
      <w:r>
        <w:rPr>
          <w:b/>
        </w:rPr>
        <w:t xml:space="preserve">Quelle: </w:t>
      </w:r>
      <w:r>
        <w:t>https://mcp.opencaselaw.ch/entscheid/ge_gerichte_ATAS_864_2023</w:t>
      </w:r>
    </w:p>
    <w:p>
      <w:r>
        <w:t>FR: GE_GERICHTE ATAS/864/2023 du 9 novembre 2023</w:t>
      </w:r>
    </w:p>
    <w:p>
      <w:r>
        <w:t>IT: GE_GERICHTE ATAS/864/2023 del 9 novembre 2023</w:t>
      </w:r>
    </w:p>
    <w:p>
      <w:pPr>
        <w:pStyle w:val="Heading2"/>
      </w:pPr>
      <w:r>
        <w:t>Erwägungen</w:t>
      </w:r>
    </w:p>
    <w:p>
      <w:r>
        <w:rPr>
          <w:b/>
        </w:rPr>
        <w:t>E. 30</w:t>
      </w:r>
    </w:p>
    <w:p>
      <w:r>
        <w:t>juin 2018. 6. Constate que le montant à restituer par les recourants s’élève à CHF 76'326.-. 7. Prend acte que l’intimé se prononcera sur la remise de l’obligation de restituer les prestations indûment perçues dès l'entrée en force du présent arrêt. 8. Alloue aux recourants une indemnité de dépens de CHF 2'000.- à la charge de l’intimé. 9. Dit que la procédure est gratuite. 10.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A/2836/2022 - 26/26 -</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