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ATAS/864/2013 vom 3. September 2013</w:t>
      </w:r>
    </w:p>
    <w:p>
      <w:r>
        <w:t>GE Cour de justice, 2013-09-03, FR</w:t>
      </w:r>
    </w:p>
    <w:p>
      <w:r>
        <w:rPr>
          <w:b/>
        </w:rPr>
        <w:t xml:space="preserve">Quelle: </w:t>
      </w:r>
      <w:r>
        <w:t>https://mcp.opencaselaw.ch/entscheid/ge_gerichte_ATAS_864_2013</w:t>
      </w:r>
    </w:p>
    <w:p>
      <w:r>
        <w:t>FR: GE_GERICHTE ATAS/864/2013 du 3 septembre 2013</w:t>
      </w:r>
    </w:p>
    <w:p>
      <w:r>
        <w:t>IT: GE_GERICHTE ATAS/864/2013 del 3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la prise en compte de la fortune des époux déterminant le montant des prestations complémentaires qui leur est dû.</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w:t>
      </w:r>
    </w:p>
    <w:p>
      <w:r>
        <w:t>A/1710/2013 - 4/7 - complémentaire annuelle correspond à la part des dépenses reconnues qui excède les revenus déterminants.</w:t>
      </w:r>
    </w:p>
    <w:p>
      <w:r>
        <w:rPr>
          <w:b/>
        </w:rPr>
        <w:t>E. 6</w:t>
      </w:r>
    </w:p>
    <w:p>
      <w:r>
        <w:t>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w:t>
      </w:r>
    </w:p>
    <w:p>
      <w:r>
        <w:t>A/1710/2013 - 5/7 - D’une façon générale, le TFA a précisé que l’on ne peut renoncer à rechercher les causes d’une diminution de fortune et se fonder sur la situation effective de l’assuré que lorsqu’il n’y a pas dessaisissement au sens de l’art. 11 al. 1 let. g LPC. Il a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 cet égard,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w:t>
      </w:r>
    </w:p>
    <w:p>
      <w:r>
        <w:rPr>
          <w:b/>
        </w:rPr>
        <w:t>E. 7</w:t>
      </w:r>
    </w:p>
    <w:p>
      <w:r>
        <w:t>L'art. 17a OPC-AVS/AI décrit la façon dont il faut prendre en considération la fortune et d'éventuels dessaisissements dans le calcul de la prestation complémentaire ; la valeur de la fortune lors du dessaisissement doit être reportée telle quel au 1er janvier de l'année suivante, puis être réduite chaque année de 10'000 fr. jusqu'au 1er janvier de l'année pour laquelle la prestation a servi.</w:t>
      </w:r>
    </w:p>
    <w:p>
      <w:r>
        <w:rPr>
          <w:b/>
        </w:rPr>
        <w:t>E. 8</w:t>
      </w:r>
    </w:p>
    <w:p>
      <w:r>
        <w:t>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w:t>
      </w:r>
    </w:p>
    <w:p>
      <w:r>
        <w:t>A/1710/2013 - 6/7 - On relèvera par ailleurs que la jurisprudence du TFA en matière de biens dessaisis s’applique mutatis mutandis en matière de prestations complémentaires cantonales.</w:t>
      </w:r>
    </w:p>
    <w:p>
      <w:r>
        <w:rPr>
          <w:b/>
        </w:rPr>
        <w:t>E. 9</w:t>
      </w:r>
    </w:p>
    <w:p>
      <w:r>
        <w:t>En l'espèce, les époux, dans leur recours du 30 avril 2013, ne contestent pas qu'il y ait eu donation envers leur fille, se contentant d'indiquer le montant de leur fortune au 31 décembre 2012 et au 28 février 2013. La Cour de céans confirmera dès lors l'existence de biens dessaisis. Il y a lieu de constater que la fortune est bien de 19'190 fr. au 31 décembre 2012 mais est de 7'165 fr. 90 au 28 février 2013. Or, le SPC a indiqué dans ses écritures du 18 juin 2013 qu'il envisageait de revoir sa décision, afin de tenir compte de ce montant de 7'165 fr. 90. Il convient dès lors d'en prendre acte, étant rappelé que le SPC l'a déjà été pris en considération à partir du 1er mai 2013 dans sa décision du 29 mai 2013. La nouvelle décision ne portera partant que sur la période du 1er mars au 30 avril 2013.</w:t>
      </w:r>
    </w:p>
    <w:p>
      <w:r>
        <w:rPr>
          <w:b/>
        </w:rPr>
        <w:t>E. 10</w:t>
      </w:r>
    </w:p>
    <w:p>
      <w:r>
        <w:t>Aussi le recours est-il admis, et la cause renvoyée au SPC pour nouvelle décision, dans le sens de ce qui précède.</w:t>
      </w:r>
    </w:p>
    <w:p>
      <w:r>
        <w:t>A/1710/2013 - 7/7 - PAR CES MOTIFS, LA CHAMBRE DES ASSURANCES SOCIALES : Statuant A la forme : 1. Déclare le recours recevable. Au fond : 2. L'admet et annule la décision du 25 avril 2013. 3. Renvoie la cause au SPC pour nouvelle décision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