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ATAS/863/2023 vom 9. November 2023</w:t>
      </w:r>
    </w:p>
    <w:p>
      <w:r>
        <w:t>GE Cour de justice, 2023-11-09, FR</w:t>
      </w:r>
    </w:p>
    <w:p>
      <w:r>
        <w:rPr>
          <w:b/>
        </w:rPr>
        <w:t xml:space="preserve">Quelle: </w:t>
      </w:r>
      <w:r>
        <w:t>https://mcp.opencaselaw.ch/entscheid/ge_gerichte_ATAS_863_2023</w:t>
      </w:r>
    </w:p>
    <w:p>
      <w:r>
        <w:t>FR: GE_GERICHTE ATAS/863/2023 du 9 novembre 2023</w:t>
      </w:r>
    </w:p>
    <w:p>
      <w:r>
        <w:t>IT: GE_GERICHTE ATAS/863/2023 del 9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2.1.1</w:t>
      </w:r>
    </w:p>
    <w:p>
      <w:r>
        <w:t>; ATF 130 V 396 consid. 5.3 et 6).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w:t>
      </w:r>
    </w:p>
    <w:p>
      <w:r>
        <w:t>A/2757/2022 - 11/34 -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Enfin, il existe deux types de neurasthénie (F48.0 CIM-10). Dans le premier cas, la caractéristique essentielle est une plainte concernant une fatigue accrue après des efforts mentaux, souvent associée à une certaine diminution des performances professionnelles et des capacités à faire face aux tâches quotidiennes. La fatigabilité mentale est décrite typiquement comme une distractibilité due à une intrusion désagréable d'associations et de souvenirs, une difficulté de concentration ou une pensée globalement inefficace. Dans le deuxième type, l'accent est mis sur des sensations de faiblesse corporelle ou physique et un sentiment d'épuisement après des efforts minimes, associés à des courbatures, des douleurs musculaires et une difficulté à se détendre. Les deux types comportent habituellement plusieurs autres sensations physiques désagréables, telles que des sensations vertigineuses, des céphalées de tension et une impression d'instabilité globale. Il existe par ailleurs souvent une inquiétude concernant une dégradation de la santé mentale et physique, une irritabilité, une anhédonie et des degrés variables de dépression et d'anxiété mineures. Il existe souvent une insomnie d'endormissement, une insomnie du milieu de la nuit ou une hypersomnie.</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3.1.1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Les dispositions transitoires de la modification du 19 juin 2020 prévoient, à la let. b, al. 1, que pour les bénéficiaires de rente dont le droit à la rente est né avant l’entrée en vigueur de la modification en question et qui n’avaient pas encore 55 ans à l’entrée en vigueur de cette modification, la quotité de la rente ne change pas tant que leur taux d’invalidité ne subit pas de modification au sens de l’art. 17 al. 1 LPGA.</w:t>
      </w:r>
    </w:p>
    <w:p>
      <w:r>
        <w:t>A/2757/2022 - 7/34 -</w:t>
      </w:r>
    </w:p>
    <w:p>
      <w:r>
        <w:rPr>
          <w:b/>
        </w:rPr>
        <w:t>E. 3.1.2</w:t>
      </w:r>
    </w:p>
    <w:p>
      <w:r>
        <w:t>La Circulaire sur l’invalidité et les rentes dans l’assurance-invalidité (ci-après : CIRAI), en vigueur depuis le 1er janvier 2022, a détaillé, aux p. 116 à 118, les principes applicables. Ainsi, pour connaître la situation des assurés nés entre 1967 et 1991 (« Mainstream »), lesquels avaient donc entre 30 et 54 ans au moment de l’entrée en vigueur du développement continu de l’AI, il faut déterminer quand leur droit à la rente a pris naissance :  si le droit a pris naissance après le 1er janvier 2022, c’est la nouvelle législation qui s’applique, autrement dit le nouveau système de rentes (art. 28b LAI).  Si l’assuré avait déjà droit à une rente avant cette date, ses droits acquis sont garantis en vertu de la let. b, al. 1, des dispositions transitoires de la modification du 19 juin 2020 de la LAI. En principe, l’ancienne législation (et donc l’ancien système de rentes) reste applicable jusqu’à ce que l’assuré ait atteint l’âge ordinaire de la retraite. Si, durant les années qui suivent, le taux d’invalidité est modifié dans le cadre d’une procédure de révision, il convient de distinguer si la modification s’est produite avant le 1er janvier 2022 ou si elle est supérieure à 5 points de pourcentage (art. 17 al. 1 LPGA).  Si la modification déterminante s’est produite avant le 1er janvier 2022 ou si elle est inférieure à 5 points de pourcentage, l’assuré reste dans l’ancien système de rentes.  Si elle est égale ou supérieure à 5 points de pourcentage, l’assuré passe en principe au nouveau système de rentes. Néanmoins, si l’application de l’art. 28b LAI se traduit par une baisse de la rente en cas d’augmentation du taux d’invalidité ou par une augmentation de la rente en cas de réduction (cf. let. b, al. 2, des dispositions transitoires de la modification du 19 juin 2020 de la LAI), l’assuré reste à titre exceptionnel dans l’ancien système de rentes.</w:t>
      </w:r>
    </w:p>
    <w:p>
      <w:r>
        <w:rPr>
          <w:b/>
        </w:rPr>
        <w:t>E. 3.2</w:t>
      </w:r>
    </w:p>
    <w:p>
      <w:r>
        <w:t>Lors de l’entrée en vigueur de la modification du 19 juin 2020, la recourante était âgée de 45 ans et son droit à la rente, s’il devait être reconnu, serait né avant le 1er janvier 2022. Partant, le droit aux prestations de la recourante doit s’examiner conformément aux règles applicables jusqu’au 31 décembre 2021, soit sous l’angle de l’ancien droit.</w:t>
      </w:r>
    </w:p>
    <w:p>
      <w:r>
        <w:rPr>
          <w:b/>
        </w:rPr>
        <w:t>E. 4</w:t>
      </w:r>
    </w:p>
    <w:p>
      <w:r>
        <w:t>Le délai de recours est de 30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4.3</w:t>
      </w:r>
    </w:p>
    <w:p>
      <w:r>
        <w:t>; arrêt du Tribunal fédéral 9C_618/2019 du 16 mars 2020 consid. 8.2). Les principes jurisprudentiels développés en matière de troubles somatoformes douloureux sont également applicables au syndrome de fatigue chronique ou de neurasthénie (ATF 139 V 346 ; arrêt du Tribunal fédéral 9C_662/2009 du 17 août 2010 consid. 2.3 in SVR 2011 IV n° 26 p. 73).</w:t>
      </w:r>
    </w:p>
    <w:p>
      <w:r>
        <w:rPr>
          <w:b/>
        </w:rPr>
        <w:t>E. 5</w:t>
      </w:r>
    </w:p>
    <w:p>
      <w:r>
        <w:t>Le litige porte sur le bien-fondé de la décision de l’OAI de rejeter la demande de prestations de la recourante, singulièrement sur la valeur probante des rapports d’expertise neurologique du 29 mars 2021 et psychiatrique du 26 janvier 2022, ainsi que du rapport d’enquête ménagère du 21 avril 2022, étant précisé que le</w:t>
      </w:r>
    </w:p>
    <w:p>
      <w:r>
        <w:t>A/2757/2022 - 8/34 - statut mixte (40% d’activité professionnelle et 60% de tenue du ménage) n’est pas contesté par la recourante.</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w:t>
      </w:r>
    </w:p>
    <w:p>
      <w:r>
        <w:t>A/2757/2022 - 9/34 -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7.2</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w:t>
      </w:r>
    </w:p>
    <w:p>
      <w:r>
        <w:rPr>
          <w:b/>
        </w:rPr>
        <w:t>E. 8</w:t>
      </w:r>
    </w:p>
    <w:p>
      <w:r>
        <w:t>La recourante conteste tout d’abord la capacité de travail retenue par les experts. Cet aspect implique ainsi un examen de la valeur probante des expertises figurant au dossier.</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w:t>
      </w:r>
    </w:p>
    <w:p>
      <w:r>
        <w:t>A/2757/2022 - 10/34 - elle entraîne une incapacité de travail ayant des effets sur la capacité de gain de l’assuré (arrêt du Tribunal fédéral I 654/00 du 9 avril 2001 consid. 1).</w:t>
      </w:r>
    </w:p>
    <w:p>
      <w:r>
        <w:rPr>
          <w:b/>
        </w:rPr>
        <w:t>E. 8.2</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(sur le plan somatique ou psychique), à défaut de quoi une appréciation de ce droit aux prestations ne peut être assurée de manière conforme à l'égalité de traitement des assurés (voir par exemple les arrêts du Tribunal fédéral 8C_755/2020 du 19 avril 2021 consid. 4.4, 9C_7/2014 du 27 mars 2014 consid. 4.2.2)</w:t>
      </w:r>
    </w:p>
    <w:p>
      <w:r>
        <w:rPr>
          <w:b/>
        </w:rPr>
        <w:t>E. 8.3.1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8.3.2</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w:t>
      </w:r>
    </w:p>
    <w:p>
      <w:r>
        <w:rPr>
          <w:b/>
        </w:rPr>
        <w:t>E. 8.4.1</w:t>
      </w:r>
    </w:p>
    <w:p>
      <w:r>
        <w:t>Les troubles d'ordre psychosomatique ou syndromes sans pathogénèse ni étiologie claire et sans constat de déficit organique, tels que le trouble somatoforme douloureux notamment, sont difficilement objectivables et il n'est pas évident d'identifier ce qui est raisonnablement exigible de l'assuré et s'il a les ressources nécessaires pour fournir l'effort requis.</w:t>
      </w:r>
    </w:p>
    <w:p>
      <w:r>
        <w:rPr>
          <w:b/>
        </w:rPr>
        <w:t>E. 8.4.2</w:t>
      </w:r>
    </w:p>
    <w:p>
      <w:r>
        <w:t>Selon la jurisprudence, en cas de troubles psychiques, la capacité de travail réellement exigible doit être évaluée dans le cadre d'une procédure d'établissement</w:t>
      </w:r>
    </w:p>
    <w:p>
      <w:r>
        <w:t>A/2757/2022 - 12/34 -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w:t>
      </w:r>
    </w:p>
    <w:p>
      <w:r>
        <w:rPr>
          <w:b/>
        </w:rPr>
        <w:t>E. 8.4.3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w:t>
      </w:r>
    </w:p>
    <w:p>
      <w:r>
        <w:t>A/2757/2022 - 13/34 -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A/2757/2022 - 14/34 -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9.3.1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9.3.2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rPr>
          <w:b/>
        </w:rPr>
        <w:t>E. 9.3.3</w:t>
      </w:r>
    </w:p>
    <w:p>
      <w:r>
        <w:t>On ajoutera qu'en cas de divergence d’opinion entre experts et médecins traitants, il n'est pas, de manière générale, nécessaire de mettre en œuvre une nouvelle expertise. La valeur probante des rapports médicaux des uns et</w:t>
      </w:r>
    </w:p>
    <w:p>
      <w:r>
        <w:t>A/2757/2022 - 15/34 -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w:t>
      </w:r>
    </w:p>
    <w:p>
      <w:r>
        <w:t>A/2757/2022 - 16/34 - vraisemblance prépondérante, à la réalité (ATF 139 V 176 consid. 5.2 et les références).</w:t>
      </w:r>
    </w:p>
    <w:p>
      <w:r>
        <w:rPr>
          <w:b/>
        </w:rPr>
        <w:t>E. 10.3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11.1</w:t>
      </w:r>
    </w:p>
    <w:p>
      <w:r>
        <w:t>À titre liminaire, la chambre de céans rappelle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être corrélée à des observations médicales concluantes (sur le plan somatique ou psychique). Pour tenter de corréler les douleurs alléguées par la recourante à une atteinte somatique, voire psychique, l’intimé a mandaté les Drs J______ et K______ pour expertise. Dans leurs rapports des 29 mars 2021, respectivement 26 janvier 2022, les médecins précités ont retenu une capacité de travail entière sur le plan neurologique, respectivement de 80% jusqu’en 2020 et de 60% depuis lors sur le plan psychique. C’est donc la valeur probante de ces rapports qu’il convient d’examiner. Force est tout d’abord de constater que, sur le plan formel, ces rapports répondent aux réquisits jurisprudentiels en matière de valeur probante. Ils contiennent en effet le résumé du dossier, une anamnèse, les indications subjectives de la recourante, des observations cliniques, ainsi qu'une discussion générale du cas. Les conclusions des médecins, qui résultent d'une analyse complète de la situation médicale, sont claires et bien motivées. Sur le fond, l’expert neurologue n’a pas retenu de diagnostic incapacitant. À titre de diagnostic sans répercussion sur la capacité de travail, la neurologue a retenu des séquelles de maladie de Scheuermann, une discopathie L4-L5 et L5-S1 sans conflit radiculaire, des cervico-brachialgies gauches chroniques et une arthrose et épicondylite externe du coude gauche. La recourante souffrait de cervico- brachialgies chroniques sans net conflit radiculaire. Les traitements antalgiques, de physiothérapie, d’acuponcture, les infiltrations et les blocs n’avaient pas permis d’améliorer la symptomatologie à laquelle s’étaient surajoutées, début 2016, des</w:t>
      </w:r>
    </w:p>
    <w:p>
      <w:r>
        <w:t>A/2757/2022 - 17/34 - douleurs au coude gauche dans le cadre d’une arthrose et d’une épicondylite externe. Les plaintes de la recourante ne semblaient pas avoir évolué depuis le début des symptômes, malgré l’arrêt de travail prolongé et plusieurs tentatives de traitement, y compris semi-invasifs (infiltrations, blocs). Aucune réadaptation n’avait été entreprise, en raison du caractère réfractaire à tout traitement. Pour la neurologue, il ne s’agissait vraisemblablement pas de douleurs neurogènes, tous les traitements ayant échoué. L’ENMG était normal, ce qui parlait contre une pathologie d’enclavement. Le spécialiste en rhumatologie n’avait pas non plus pu trouver une étiologie claire aux plaintes de la patiente. Les différents examens ne mettaient pas en évidence d’atteinte radiculaire ou de neuropathie susceptibles d’expliquer les douleurs dont se plaignait la recourante. Un tremblement d’origine psychogène, cessant lors des manœuvres de distractibilité, était également décrit. Par ailleurs, l’examen neuropsychologique était validé et corroborait les conclusions, en mettant en évidence des signes de surcharge, compatibles avec un trouble fonctionnel. S’agissant de la capacité de travail, elle était de 100%, ce taux ayant d’ailleurs déjà été attesté en octobre 2018 par le Dr B______. À titre de limitations fonctionnelles, la neurologue retenait le port de lourdes charges ou l’utilisation constante de la main et du bras gauches. La recourante étant droitière, de multiples activités manuelles pouvaient être envisagées. Enfin, compte tenu de l’absence d’étiologie nette et du caractère réfractaire à tout effort thérapeutique, il n’était pas exclu qu’un aspect fonctionnel participe à la symptomatologie douloureuse. La Dre J______ suggérait par conséquent la réalisation d’une évaluation psychiatrique pour clarifier cette hypothèse. Quant à l’expert psychiatre, il a retenu, à titre de diagnostics avec répercussion sur la capacité de travail, un syndrome douloureux somatoforme persistant (F45.4) dès 2016 et une neurasthénie (F48.0) dès 2020. À titre de diagnostic non incapacitant, il a évoqué une majoration des symptômes physiques pour des raisons psychologiques (F68.0 dès 2016). Pour le Prof. K______, il s’agissait d’une situation classique d’interaction entre deux troubles du registre névrotique, le syndrome douloureux somatoforme et la neurasthénie. En effet, dans ces deux entités, il y avait une souffrance corporelle, qui occupait la place avec de faibles capacités de verbalisation du désarroi ressenti. L’expert psychiatre n’avait retrouvé aucun syndrome dépressif, la baisse de la thymie étant, selon lui, expliquée comme un signe accompagnant le syndrome douloureux somatoforme. Ce syndrome diminuait la capacité de travail de 20% dans toute activité adaptée aux limitations fonctionnelles classiques (focalisation sur les douleurs, « moindre » vulnérabilité au stress, tendance au repli, faible estime de soi). La neurasthénie diminuait, quant à elle, le rendement de 20% dans tout milieu en lien avec l’hypersensibilité aux bruits et à la lumière, les maux de tête, les troubles de la concentration et le sentiment de fatigue. L’analyse neuropsychologique montrait une atteinte importante de la mémoire et des fonctions attentionnelles mais avec un test de validation sévèrement déficitaire, ce qui impliquait un défaut patent de motivation. Les pourcentages de diminutions retenus tenaient compte de</w:t>
      </w:r>
    </w:p>
    <w:p>
      <w:r>
        <w:t>A/2757/2022 - 18/34 - l’atteinte fonctionnelle pondérée en fonction des résultats des tests de validation des symptômes. Au total, la capacité de travail était ainsi limitée à 80% entre 2016 et 2020 et à 60% dès 2020. En résumé, les experts ont considéré que la recourante ne présentait pas d’atteinte neurologique susceptible d’expliquer les douleurs ressenties. En revanche, des troubles psychiques - le trouble somatoforme douloureux persistant et la neurasthénie - les expliquaient et entraînaient, dans toute activité, une incapacité de travail de 20% entre 2016 et 2020 et de 40% depuis 2020.</w:t>
      </w:r>
    </w:p>
    <w:p>
      <w:r>
        <w:rPr>
          <w:b/>
        </w:rPr>
        <w:t>E. 11.2</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Dans le cas d’espèce, la recourante conteste les conclusions des expertises neurologique et psychiatrique, considérant notamment que le dossier contenait un nombre élevé de rapports prouvant que presque tout avait été effectué pour diagnostiquer et guérir, ou à tout le moins soulager, ses souffrances et que la douleur multiforme dont elle souffrait n’avait pas trouvé d’explication, ce qui réduisait sensiblement les solutions médicales. À l’appui de ses conclusions, outre les pièces figurant déjà au dossier de l’OAI, la recourante s’est référée notamment aux avis des Drs M______, B______ et I______, étant précisé que la recourante a également sollicité l’audition des deux premiers médecins cités.</w:t>
      </w:r>
    </w:p>
    <w:p>
      <w:r>
        <w:rPr>
          <w:b/>
        </w:rPr>
        <w:t>E. 11.2.1</w:t>
      </w:r>
    </w:p>
    <w:p>
      <w:r>
        <w:t>Dans son courrier du 30 août 2022, le Dr M______ a résumé divers avis médicaux établis entre 2016 et 2019, dont il ressort, selon lui, que les douleurs ressenties par la recourante étaient d’origine neuropathique et non psychique. Selon lui, les symptômes étaient compatibles avec une névralgie cubitale. S’agissant des douleurs somatoformes, elles se manifestaient en principe dans le cadre d’un conflit émotionnel ou psychosocial. Or, rien de tel n’était retrouvé dans l’historique de la recourante. Enfin, le Dr M______ était d’avis que la capacité de travail de la recourante était sévèrement limitée et possible uniquement avec un travail physiquement léger, tel que celui de patrouilleuse scolaire, qu’elle effectuait avant. Toutefois, selon la recourante, même une telle activité ne pouvait plus être exercée plus de 2h par jour, ce qui revenait à reconnaître une capacité de travail de 20%. Force est tout d’abord de constater que les médecins consultés par la recourante ont entrepris différentes investigations médicales afin de déterminer la cause des douleurs au membre supérieur gauche sur le plan somatique. Si dans un premier temps, ces investigations ont montré une compression du nerf ulnaire au coude</w:t>
      </w:r>
    </w:p>
    <w:p>
      <w:r>
        <w:t>A/2757/2022 - 19/34 - gauche, avec instabilité du nerf et déficit sensitif, une intervention chirurgicale, sous la forme d’une transposition antérieure sous-cutanée du nerf ulnaire au coude a été effectuée le 8 novembre 2018 (rapport opératoire du Dr B______ du 8 novembre 2018). En septembre 2019, l’examen clinique a montré un nerf ulnaire bien stabilisé et aucun argument en faveur de la persistance d’une compression d’un nerf, tant au niveau du tunnel carpien qu’au niveau du coude, n’existait (rapport du Dr B______ du 30 septembre 2019). D’autres investigations, qui ont été effectuées par la suite, n’ont pas permis de montrer de conflit radiculaire ou de lésion nerveuse périphérique ni de signes de récidive du syndrome du tunnel carpien (cf. rapport du docteur N______, spécialiste FMH en neurologie, du 11 novembre 2019, auquel le Dr M______ s’est référé dans son courrier du 30 août 2022). En d’autres termes, si, dans un premier temps, les investigations médicales ont effectivement montré une possible origine neurogène aux plaintes de la recourante, l’intervention du 8 novembre 2018 et les examens postérieurs n’ont plus permis de retenir une telle origine. Ainsi, dans un tel contexte, quoi qu’en dise le Dr M______, qui n’est au demeurant pas psychiatre, le diagnostic de trouble somatoforme douloureux persistant n’apparaît pas dénué de tout fondement, ce d’autant moins que la Dre I______, psychiatre traitante de l’assurée, a elle-même évoqué un tel trouble dans son rapport du 4 août 2022. Par ailleurs, la position du Dr M______ qui considère que seules 2 heures par jour peuvent être effectuées est en contradiction avec un rapport du 10 avril 2018, dans lequel ce praticien a lui-même considéré que la recourante était capable de travailler 4 heures par jour, les facteurs faisant obstacle à une réadaptation n’étant pas médicaux mais d’ordre socio-professionnel, à savoir des connaissances linguistiques limitées et l’absence de formation professionnelle. En tout état, une capacité de travail de 60% (sur le plan psychique) revient à environ 2 heures par jour pour un temps partiel de 40% (40% de 8 heures par jour revient à 3,2 heures et 60% de 3,2 heures revient à 1,92 heures). En somme, le Dr M______ critique l’expertise neurologique sur plusieurs aspects non pas en y opposant des constatations médicales, qui auraient été omises, mais en évoquant les déclarations de la recourante ou des éléments qui n’ont pas à être pris en considération en matière d’assurance-invalidité (connaissances linguistiques, absence de formation professionnelle). Le généraliste précité n’a donc pas fait état d’éléments objectifs précis qui auraient été omis et qui justifieraient, d'un point de vue médical, d'envisager la situation selon une perspective différente ou, à tout le moins, la mise en œuvre d'un complément d'instruction. Son appréciation ne saurait suffire pour remettre en question les conclusions des expertises neurologique et psychiatrique. Pour cette raison, la chambre de céans renoncera également, par appréciation anticipée des preuves, à entendre le Dr M______.</w:t>
      </w:r>
    </w:p>
    <w:p>
      <w:r>
        <w:t>A/2757/2022 - 20/34 -</w:t>
      </w:r>
    </w:p>
    <w:p>
      <w:r>
        <w:rPr>
          <w:b/>
        </w:rPr>
        <w:t>E. 11.2.2</w:t>
      </w:r>
    </w:p>
    <w:p>
      <w:r>
        <w:t>Quant au Dr B______, s’il a certes considéré, dans son courrier du</w:t>
      </w:r>
    </w:p>
    <w:p>
      <w:r>
        <w:rPr>
          <w:b/>
        </w:rPr>
        <w:t>E. 11.2.3</w:t>
      </w:r>
    </w:p>
    <w:p>
      <w:r>
        <w:t>Enfin, la Dre I______ a retenu, dans un rapport du 4 aout 2022, le diagnostic de trouble dépressif récurrent, non pris en considération par les experts, évoquant tout de même un trouble somatoforme douloureux (cf. rapport du 4 août 2022), la seule différence entre l’expert et la psychiatre traitante étant la prise en considération – ou non – du trouble dépressif, celui-ci étant un signe accompagnant le trouble somatoforome douloureux pour le premier et une atteinte autonome pour la deuxième. S’y ajoute le fait que la psychiatre traitante ne se prononce aucunement sur les conclusions de l’expertise psychiatrique mais procède à une appréciation différente d’une même situation. Pour toutes ces raisons, l’avis de la Dre I______ ne permet pas de s’écarter des conclusions du Prof. K______.</w:t>
      </w:r>
    </w:p>
    <w:p>
      <w:r>
        <w:rPr>
          <w:b/>
        </w:rPr>
        <w:t>E. 11.3</w:t>
      </w:r>
    </w:p>
    <w:p>
      <w:r>
        <w:t>En résumé, il ressort du dossier que les investigations réalisées par les différents spécialistes n’ont pas permis d’objectiver une atteinte somatique expliquant les douleurs de la recourante. C’est pourquoi la Dre J______ est arrivée à la conclusion qu’il ne s’agissait vraisemblablement pas de douleurs neurogènes, ce d’autant moins que tous les traitements tentés avaient échoué. L’examen neuropsychologique a, quant à lui, mis en évidence des signes de surcharge, compatibles avec un trouble fonctionnel, raison pour laquelle l’experte neurologue a suggéré une expertise psychiatrique, qui a été confiée au Prof. K______. Ce dernier a retenu un trouble somatoforme douloureux. Selon la CIM-10, dans le cas du syndrome somatoforme douloureux persistant,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(F45.4). Or, selon la Dre I______, la recourante recherchait l’attention d’autrui au moyen de ses symptômes physiques (cf. rapport du 8 juillet 2021).</w:t>
      </w:r>
    </w:p>
    <w:p>
      <w:r>
        <w:t>A/2757/2022 - 21/34 - En d’autres termes, les experts n’ont pas nié les douleurs de la recourante mais les ont rattachées à un trouble psychique et non à une atteinte somatique, objectivable. Quant aux appréciations des médecins traitants, elles ne permettent pas de remettre en question la valeur probante des rapports d’expertise. En effet, ces praticiens n’ont pas critiqué les constatations médicales des experts, mas ils ont uniquement procédé à une appréciation différente d’un même état de faits. Leurs appréciations ne permettent ainsi pas de considérer que les experts auraient ignoré certains éléments, ce qui aurait pour conséquence d’envisager la situation selon une perspective différente ou, à tout le moins, nécessité la mise en œuvre d’un complément d’instruction. En conséquence, il sera renoncé, comme il l’a déjà été expliqué ci-dessus, à leur audition, par appréciation anticipée des preuves.</w:t>
      </w:r>
    </w:p>
    <w:p>
      <w:r>
        <w:rPr>
          <w:b/>
        </w:rPr>
        <w:t>E. 11.4</w:t>
      </w:r>
    </w:p>
    <w:p>
      <w:r>
        <w:t>En tant qu’atteintes psychiques, par définition, non objectivables, le trouble somatoforme douloureux persistant et la neurasthénie ne sont invalidants que si la recourante ne dispose pas ou plus des ressources suffisantes pour les surmonter. Les indicateurs jurisprudentiels permettent justement de déterminer l’existence - ou non - de telles ressources. Cette question peut toutefois rester ouverte, dès lors que même si la recourante ne devait pas disposer de ressources suffisantes et donc subir une incapacité de gain objectivement insurmontable, elle ne saurait prétendre à une rente d’invalidité comme cela ressort des considérations ci-dessous (voir en particulier le consid. 14 infra). 12. Il s’agit désormais de déterminer le degré d’invalidité dans l’activité professionnelle. 12.1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12.2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w:t>
      </w:r>
    </w:p>
    <w:p>
      <w:r>
        <w:t>A/2757/2022 - 22/34 - la décision est rendue doivent être prises en compte (ATF 129 V 222 consid. 4.1 et les références). 12.3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 12.4 12.4.1 Quant au revenu d'invalide, il doit être évalué avant tout en fonction de la situation professionnelle concrète de l'intéressé (ATF 135 V 297 consid. 5.2). En ce sens, la référence aux données de l’Enquête suisse sur la structure des salaires (ci-après : ESS) constitue une ultima ratio (ATF 142 V 178 consid. 2.5.7).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 ; ATF 126 V 75 consid. 3b/aa et bb ; voir également arrêt du Tribunal fédéral 9C_140/2017 du 18 août 2017 consid. 5.4.1).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w:t>
      </w:r>
    </w:p>
    <w:p>
      <w:r>
        <w:t>A/2757/2022 - 23/34 - 2021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Il convient de se référer à la version de l'ESS publiée au moment déterminant de la décision querellée (ATF 143 V 295 consid. 4 ; arrêt du Tribunal fédéral 8C_655/2016 du 4 août 2017 consid. 6.3), étant précisé que les tableaux TA1, T1 et T17 de l’ESS 2020 ont été publiés le 23 août 2022 ; l’ESS 2018, le 21 avril 2020 ; l’ESS 2016, le 26 octobre 2018 (étant précisé que le tableau T1_tirage_skill_level a été corrigé le 8 novembre 2018) ; et l’ESS 2014, le</w:t>
      </w:r>
    </w:p>
    <w:p>
      <w:r>
        <w:rPr>
          <w:b/>
        </w:rPr>
        <w:t>E. 15</w:t>
      </w:r>
    </w:p>
    <w:p>
      <w:r>
        <w:t>et 20 ans au jour de l’ouverture de l’éventuel droit à une rente, en 2018. Ces trois personnes, vivant sous le même toit, peuvent par conséquent apporter une contribution raisonnable aux tâches ménagères. Par ailleurs, sans minimiser la charge de travail d'un enfant en formation, la chambre de céans rappellera que selon l'Enquête suisse sur la population active (ESPA), effectuée périodiquement par l'OFS, un adolescent en formation de l'âge des fils de la recourante, consacre en moyenne 12.1 heures par semaine au travail domestique et familial (table T</w:t>
      </w:r>
    </w:p>
    <w:p>
      <w:r>
        <w:t>A/2757/2022 - 30/34 - 03.06.00.01, Population résidante permanente âgée de 15 ans et plus, pour l'année 2016, année la plus proche de celle de l’ouverture du droit à une éventuelle rente). Au demeurant, à la lecture de l’enquête sur le ménage, on constate que l’époux et les enfants exécutent bon nombre d’activités ménagères en remplacement de la recourante, telles que faire la cuisine, changer les draps, charger la lessive mouillée dans le sèche-linge et plier les grandes pièces de linge par exemple. Partant, la chambre de céans peine à comprendre en quoi l’exigibilité retenue différerait de la situation effective. En tout état, par appréciation anticipée des preuves, la chambre de céans renoncera à entendre le fils aîné de la recourante, dès lors que la possibilité pour la recourante d'obtenir concrètement de l'aide de la part de sa famille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Il y a dès lors lieu de confirmer la valeur probante du rapport d’enquête à domicile et de retenir une invalidité de 6,3% dans la tenue du ménage.</w:t>
      </w:r>
    </w:p>
    <w:p>
      <w:r>
        <w:rPr>
          <w:b/>
        </w:rPr>
        <w:t>E. 16</w:t>
      </w:r>
    </w:p>
    <w:p>
      <w:r>
        <w:t>Il convient désormais de déterminer le degré d’invalidité de la recourante. À titre liminaire, c’est le lieu de rappeler que conformément à l’art. 27 RAI, dans le cadre de la méthode mixte, le degré d’invalidité est calculé comme suit : (Taux d’occupation avant l’invalidité x degré d’invalidité) + (Taux des travaux habituels (ménage) x limitation dans le ménage) = Degré d’invalidité En prenant en considération les degrés d’invalidité établis dans la sphère professionnelle (cf. supra consid. 13) et dans la sphère ménagère (cf. supra consid. 15), le degré d’invalidité est de 22% conformément au calcul suivant : 40% x 46% + 60% x 6.3% = 18% + 4% = 22% Or, dans la mesure où il est inférieur à 40%, le degré d’invalidité de 22% est insuffisant pour donner droit à une rente.</w:t>
      </w:r>
    </w:p>
    <w:p>
      <w:r>
        <w:rPr>
          <w:b/>
        </w:rPr>
        <w:t>E. 17</w:t>
      </w:r>
    </w:p>
    <w:p>
      <w:r>
        <w:t>La recourante conclut enfin à des mesures d’ordre professionnel.</w:t>
      </w:r>
    </w:p>
    <w:p>
      <w:r>
        <w:rPr>
          <w:b/>
        </w:rPr>
        <w:t>E. 17.1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w:t>
      </w:r>
    </w:p>
    <w:p>
      <w:r>
        <w:t>A/2757/2022 - 31/34 -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2ème éd. 2010, ad art. 8 LAI p. 95).</w:t>
      </w:r>
    </w:p>
    <w:p>
      <w:r>
        <w:rPr>
          <w:b/>
        </w:rPr>
        <w:t>E. 17.2.1</w:t>
      </w:r>
    </w:p>
    <w:p>
      <w:r>
        <w:t>Aux termes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seule une perte de gain de 20% environ ouvre en principe droit à une mesure de reclassement dans une nouvelle profession (ATF 124 V 108 consid. 2b p110 et les arrêts cités).</w:t>
      </w:r>
    </w:p>
    <w:p>
      <w:r>
        <w:rPr>
          <w:b/>
        </w:rPr>
        <w:t>E. 17.2.2</w:t>
      </w:r>
    </w:p>
    <w:p>
      <w:r>
        <w:t>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w:t>
      </w:r>
    </w:p>
    <w:p>
      <w:r>
        <w:t>A/2757/2022 - 32/34 - invalidité (ATF 114 V 29 consid. 1a p. 29 ;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 voir également MEYER, op. cit., ad art. 15 LAI p. 174).</w:t>
      </w:r>
    </w:p>
    <w:p>
      <w:r>
        <w:rPr>
          <w:b/>
        </w:rPr>
        <w:t>E. 17.2.3</w:t>
      </w:r>
    </w:p>
    <w:p>
      <w:r>
        <w:t>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 arrêt du Tribunal fédéral I 421/01 du 15 juillet 2002 consid. 2c, comparés aux arrêts du Tribunal fédéral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I 421/01 du 15 juillet 2002, consid. 2c).</w:t>
      </w:r>
    </w:p>
    <w:p>
      <w:r>
        <w:t>A/2757/2022 - 33/34 - Les arrêts précités ont certes été rendus sous l'empire de l'ancien droit, dans lequel l'art. 18 LAI avait une teneur différente mais ils demeurent valables après l'entrée en vigueur de la 5ème révision de l'AI (arrêt du Tribunal fédéral 9C_416/2009 du 1er mars 2010 consid. 5.2).</w:t>
      </w:r>
    </w:p>
    <w:p>
      <w:r>
        <w:rPr>
          <w:b/>
        </w:rPr>
        <w:t>E. 18</w:t>
      </w:r>
    </w:p>
    <w:p>
      <w:r>
        <w:t>En l’espèce, la comparaison des revenus conduit à une invalidité de 46% dans l’activité professionnelle. La décision querellée ne se prononce à aucun moment sur la question des mesures d’ordre professionnel. Confronté à cette problématique, l’intimé s’est limité à relever, dans sa réponse, que le SMR avait considéré que l’activité habituelle était adaptée, de sorte qu’aucune mesure ne s’imposait. Force est toutefois de constater que, selon les pièces au dossier, l’incapacité de travail durable a commencé le 9 décembre 2016, soit à une période où la recourante était au chômage. L’activité habituelle n’était dès lors plus exercée et l’examen du droit aux mesures d’ordre professionnel ne pouvait s’effectuer au regard d’une activité particulière, qui n’est plus exercée. Par conséquent, c’est à tort que l’intimé n’a pas examiné la question des mesures d’ordre professionnel, de sorte que le recours sera admis sur ce point.</w:t>
      </w:r>
    </w:p>
    <w:p>
      <w:r>
        <w:rPr>
          <w:b/>
        </w:rPr>
        <w:t>E. 19</w:t>
      </w:r>
    </w:p>
    <w:p>
      <w:r>
        <w:t>Au vu de ce qui précède, le recours sera très partiellement admis. La décision querellée sera annulée en tant qu’elle ne se prononce pas sur les mesures d’ordre professionnel et la cause sera renvoyée à l’intimé pour instruction complémentaire et nouvelle décision sur ce point uniquement. La recourante obtenant très partiellement gain de cause, une indemnité de CHF 800.-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A/2757/2022 - 34/34 -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