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ATAS/863/2019 vom 25. September 2019</w:t>
      </w:r>
    </w:p>
    <w:p>
      <w:r>
        <w:t>GE Cour de justice, 2019-09-25, FR</w:t>
      </w:r>
    </w:p>
    <w:p>
      <w:r>
        <w:rPr>
          <w:b/>
        </w:rPr>
        <w:t xml:space="preserve">Quelle: </w:t>
      </w:r>
      <w:r>
        <w:t>https://mcp.opencaselaw.ch/entscheid/ge_gerichte_ATAS_863_2019</w:t>
      </w:r>
    </w:p>
    <w:p>
      <w:r>
        <w:t>FR: GE_GERICHTE ATAS/863/2019 du 25 septembre 2019</w:t>
      </w:r>
    </w:p>
    <w:p>
      <w:r>
        <w:t>IT: GE_GERICHTE ATAS/863/2019 del 25 settembre 2019</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art. 73 de la loi fédérale sur la prévoyance professionnelle, vieillesse, survivants et invalidité du 25 juin 1982 [LPP  RS 831.40] et art. 142 du Code civil suisse du 10 décembre 1907 [CC  RS 210]). b. En l’espèce, la présente cause oppose une employeuse à une institution de prévoyance professionnelle en lien avec les cotisations dues par la première à la seconde. La compétence de la chambre de céans ratione materiae pour juger du cas d’espèce est ainsi établie. Elle l’est aussi ratione loci, étant relevé que, pour les contestations visées par l’art. 73 LPP, le for de l’action est au siège ou au domicile suisse du défendeur ou au lieu de l’exploitation dans laquelle l’assuré a été engagé (art. 73 al. 3 LPP) et qu’en l’occurrence la défenderesse a son siège dans le canton de Genève. c. 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w:t>
      </w:r>
    </w:p>
    <w:p>
      <w:r>
        <w:t>A/2701/2019 - 3/4 - d. Partant, elle est recevable.</w:t>
      </w:r>
    </w:p>
    <w:p>
      <w:r>
        <w:rPr>
          <w:b/>
        </w:rPr>
        <w:t>E. 2</w:t>
      </w:r>
    </w:p>
    <w:p>
      <w:r>
        <w:t>Dès lors que la défenderesse a déclaré acquiescer à l’ensemble des conclusions de la demanderesse le 16 septembre 2019, la demande doit être admise.</w:t>
      </w:r>
    </w:p>
    <w:p>
      <w:r>
        <w:rPr>
          <w:b/>
        </w:rPr>
        <w:t>E. 3</w:t>
      </w:r>
    </w:p>
    <w:p>
      <w:r>
        <w:t>Il ne sera pas alloué d’indemnité de procédure à la demanderesse, qui n’est pas assistée d’un conseil.</w:t>
      </w:r>
    </w:p>
    <w:p>
      <w:r>
        <w:rPr>
          <w:b/>
        </w:rPr>
        <w:t>E. 4</w:t>
      </w:r>
    </w:p>
    <w:p>
      <w:r>
        <w:t>La procédure est gratuite.</w:t>
      </w:r>
    </w:p>
    <w:p>
      <w:r>
        <w:t>A/2701/2019 - 4/4 -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