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ATAS/863/2011 vom 14. September 2011</w:t>
      </w:r>
    </w:p>
    <w:p>
      <w:r>
        <w:t>GE Cour de justice, 2011-09-14, FR</w:t>
      </w:r>
    </w:p>
    <w:p>
      <w:r>
        <w:rPr>
          <w:b/>
        </w:rPr>
        <w:t xml:space="preserve">Quelle: </w:t>
      </w:r>
      <w:r>
        <w:t>https://mcp.opencaselaw.ch/entscheid/ge_gerichte_ATAS_863_2011</w:t>
      </w:r>
    </w:p>
    <w:p>
      <w:r>
        <w:t>FR: GE_GERICHTE ATAS/863/2011 du 14 septembre 2011</w:t>
      </w:r>
    </w:p>
    <w:p>
      <w:r>
        <w:t>IT: GE_GERICHTE ATAS/863/2011 del 14 settembre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w:t>
      </w:r>
    </w:p>
    <w:p>
      <w:r>
        <w:t>- 6/9-</w:t>
      </w:r>
    </w:p>
    <w:p>
      <w:r>
        <w:t>A/3886/2010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w:t>
      </w:r>
    </w:p>
    <w:p>
      <w:r>
        <w:t>- 7/9-</w:t>
      </w:r>
    </w:p>
    <w:p>
      <w:r>
        <w:t>A/3886/2010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w:t>
      </w:r>
    </w:p>
    <w:p>
      <w:r>
        <w:rPr>
          <w:b/>
        </w:rPr>
        <w:t>E. 3</w:t>
      </w:r>
    </w:p>
    <w:p>
      <w:r>
        <w:t>En l’espèce, il n’est pas contestable que le recourant souffre d’une dépendance à l’alcool. Toutefois, il n’a pas pu être déterminé si cet alcoolisme est primaire ou secondaire à une affection psychiatrique. Par ailleurs, le trouble du comportement du recourant atteint des proportions qui font soupçonner une atteinte cérébrale ou une autre pathologie psychiatrique. Dans ces conditions, il s’avère nécessaire de mettre en œuvre une expertise psychiatrique.</w:t>
      </w:r>
    </w:p>
    <w:p>
      <w:r>
        <w:rPr>
          <w:b/>
        </w:rPr>
        <w:t>E. 4</w:t>
      </w:r>
    </w:p>
    <w:p>
      <w:r>
        <w:t>Celle-ci sera confiée au Dr E_________. Quant à la mission de l’expert, la Cour de céans tiendra compte des suggestions du SMR. En ce qui concerne sa demande de poser la question « Y a-t-il une maladie somatique ou psychiatrique ou un accident préexistant à la consommation excessive d’alcool qui aurait de toute façon conduit à une incapacité de travail de longue durée ? », il convient toutefois de relever qu'elle est déjà contenue dans les questions n°3, 4, 6 et 7.</w:t>
      </w:r>
    </w:p>
    <w:p>
      <w:r>
        <w:t>***</w:t>
      </w:r>
    </w:p>
    <w:p>
      <w:r>
        <w:t>- 8/9-</w:t>
      </w:r>
    </w:p>
    <w:p>
      <w:r>
        <w:t>A/3886/2010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