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ATAS/863/2007 vom 2. April 2004</w:t>
      </w:r>
    </w:p>
    <w:p>
      <w:r>
        <w:t>GE Cour de justice, 2004-04-02, FR</w:t>
      </w:r>
    </w:p>
    <w:p>
      <w:r>
        <w:rPr>
          <w:b/>
        </w:rPr>
        <w:t xml:space="preserve">Quelle: </w:t>
      </w:r>
      <w:r>
        <w:t>https://mcp.opencaselaw.ch/entscheid/ge_gerichte_ATAS_863_2007</w:t>
      </w:r>
    </w:p>
    <w:p>
      <w:r>
        <w:t>FR: GE_GERICHTE ATAS/863/2007 du 2 avril 2004</w:t>
      </w:r>
    </w:p>
    <w:p>
      <w:r>
        <w:t>IT: GE_GERICHTE ATAS/863/2007 del 2 aprile 2004</w:t>
      </w:r>
    </w:p>
    <w:p>
      <w:pPr>
        <w:pStyle w:val="Heading2"/>
      </w:pPr>
      <w:r>
        <w:t>Erwägungen</w:t>
      </w:r>
    </w:p>
    <w:p>
      <w:r>
        <w:rPr>
          <w:b/>
        </w:rPr>
        <w:t>E. 1</w:t>
      </w:r>
    </w:p>
    <w:p>
      <w:r>
        <w:t>La compétence du tribunal a déjà été examinée et admise par le Tribunal de céans dans ses arrêts des 25 août 2004 et 2 novembre 2005, de sorte qu'il n'y a pas lieu d'y revenir.</w:t>
      </w:r>
    </w:p>
    <w:p>
      <w:r>
        <w:rPr>
          <w:b/>
        </w:rPr>
        <w:t>E. 2</w:t>
      </w:r>
    </w:p>
    <w:p>
      <w:r>
        <w:t>Interjeté dans les forme et délai prévus par la loi, le recours est recevable (art. 56 et 60 LPGA).</w:t>
      </w:r>
    </w:p>
    <w:p>
      <w:r>
        <w:rPr>
          <w:b/>
        </w:rPr>
        <w:t>E. 3</w:t>
      </w:r>
    </w:p>
    <w:p>
      <w:r>
        <w:t>Le litige porte principalement sur l'augmentation des primes de l'assurance-maladie obligatoire des soins pour l'année 2003. Préalablement, les recourants invoquent la violation des règles de procédure, notamment du droit d'être entendu, dans la mesure où ils n'ont pas eu accès aux pièces produites par l'intimée. Le Tribunal n'entrera pas en matière sur ce grief, le Tribunal fédéral des assurances ayant statué sur ce point par arrêt du 5 janvier 2007.</w:t>
      </w:r>
    </w:p>
    <w:p>
      <w:r>
        <w:rPr>
          <w:b/>
        </w:rPr>
        <w:t>E. 4</w:t>
      </w:r>
    </w:p>
    <w:p>
      <w:r>
        <w:t>Conformément à l'art. 7 al. 2 de la loi fédérale sur l'assurance-maladie du 18 mars 1994 (LAMal), la caisse doit annoncer à chaque assuré les nouvelles primes approuvées par l'OFAS (aujourd'hui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l'OFAS, devenu l'Office fédéral de la santé publique (l'OFSP), les tarifs des primes de l'assurance obligatoire des soins et leur modification, au plus tard 5 mois avant leur application. Ces tarifs ne peuvent être appliqués qu'après l'approbation. Pour obtenir celle-ci, la caisse joint aux tarifs, sur une formule remise par l'Office fédéral, le budget de l'exercice en cours et le budget de l'exercice suivant (art. 92 OAMal). L'art. 60 LAMal, dans sa teneur en vigueur jusqu'au 31 décembre 2004 applicable en l'espèce, prévoit, quant à lui, les règles de financement de l'assurance obligatoire des soins. Celle-ci est financée d'après le système de la répartition des dépenses. Les assurances constituent des réserves suffisantes afin de supporter les coûts</w:t>
      </w:r>
    </w:p>
    <w:p>
      <w:r>
        <w:t>A/1536/2003 - 5/7 - afférents aux maladies déjà survenues et de garantir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w:t>
      </w:r>
    </w:p>
    <w:p>
      <w:r>
        <w:rPr>
          <w:b/>
        </w:rPr>
        <w:t>E. 5</w:t>
      </w:r>
    </w:p>
    <w:p>
      <w:r>
        <w:t>Dans son arrêt du 1er février 2005 K 45/03 (ATF 131 V 66),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l'Office fédéral de la santé publique (OFSP,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l'OFAS, la franchise et les rabais ont été appliqués correctement à l'intéressé. Dans le cadre du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w:t>
      </w:r>
    </w:p>
    <w:p>
      <w:r>
        <w:t>A/1536/2003 - 6/7 - l'assuré de consulter les pièces. La plupart des questions auxquelles le juge pourrait être amené à donner des réponses dans le cadre du contrôle qui lui incombe, peut s'appuyer sur le témoignage, écrit ou oral, de l'organe de révision, dont l'indépendance est présumée de par la loi.</w:t>
      </w:r>
    </w:p>
    <w:p>
      <w:r>
        <w:rPr>
          <w:b/>
        </w:rPr>
        <w:t>E. 6</w:t>
      </w:r>
    </w:p>
    <w:p>
      <w:r>
        <w:t>En l'espèce, il résulte de l'attestation établie par l'organe de révision de l'intimée en date du 17 mai 2005 ainsi que de l'audition de l'un de ses représentants à titre de témoin que celle-ci tient depuis l'exercice 1997, et donc plus particulièrement entre 2000 et 2002, une comptabilité distincte pour l'assurance-maladie sociale fondée sur l'art. 81 OAMal. Les charges et produits sont comptabilisés séparément pour l'assurance-obligatoire des soins, pour chaque forme particulière d'assurance- maladie au sens de l'art. 62 LAMal ainsi que pour l'assurance d'indemnités journalières. Les frais administratifs afférents à l'assurance-maladie sont répartis selon différentes clés de répartition conformes à la loi entre l'assurance obligatoire des soins, l'assurance d'indemnités journalières, ainsi que les assurances complémentaires et les autres branches d'assurance.</w:t>
      </w:r>
    </w:p>
    <w:p>
      <w:r>
        <w:t>Il a ainsi été prouvé que la clause tarifaire en cause respecte le système légal de répartition des dépenses et le principe du financement autonome de l'assurance obligatoire de soins, au sens de l'arrêt du TFA précité (ATF 131 V 66). Dans le cadre restreint de son pouvoir d'examen, le Tribunal de céans constate que les comptes de la caisse apparaissent conformes aux exigences légales. Par conséquent, le recours ne peut qu'être rejeté.</w:t>
      </w:r>
    </w:p>
    <w:p>
      <w:r>
        <w:t>A/1536/2003 - 7/7 -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