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ATAS/862/2025 vom 11. November 2025</w:t>
      </w:r>
    </w:p>
    <w:p>
      <w:r>
        <w:t>GE Cour de justice, 2025-11-11, FR</w:t>
      </w:r>
    </w:p>
    <w:p>
      <w:r>
        <w:rPr>
          <w:b/>
        </w:rPr>
        <w:t xml:space="preserve">Quelle: </w:t>
      </w:r>
      <w:r>
        <w:t>https://mcp.opencaselaw.ch/entscheid/ge_gerichte_ATAS_862_2025</w:t>
      </w:r>
    </w:p>
    <w:p>
      <w:r>
        <w:t>FR: GE_GERICHTE ATAS/862/2025 du 11 novembre 2025</w:t>
      </w:r>
    </w:p>
    <w:p>
      <w:r>
        <w:t>IT: GE_GERICHTE ATAS/862/2025 del 11 novembre 2025</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et compte tenu des féries judiciaires – prévus par la loi, le recours est recevable (art. 38 al. 4 et 56 ss LPGA et 62 ss de la loi sur la procédure administrative du 12 septembre 1985 [LPA - E 5 10]).</w:t>
      </w:r>
    </w:p>
    <w:p>
      <w:r>
        <w:rPr>
          <w:b/>
        </w:rPr>
        <w:t>E. 2</w:t>
      </w:r>
    </w:p>
    <w:p>
      <w:r>
        <w:t>Sont litigieux le taux de la rente d’invalidité et celui de l’IPAI, ce en raison des atteintes à l’épaule gauche à la suite de l’accident du 22 octobre 2020, la stabilisation de l’état de santé au 1er décembre 2023 n’étant quant à elle pas contestée.</w:t>
      </w:r>
    </w:p>
    <w:p>
      <w:r>
        <w:rPr>
          <w:b/>
        </w:rPr>
        <w:t>E. 3.1</w:t>
      </w:r>
    </w:p>
    <w:p>
      <w:r>
        <w:t>Aux termes de l'art. 6 LAA, si la présente loi n'en dispose pas autrement, les prestations d'assurance sont allouées en cas d'accident professionnel, d'accident non professionnel et de maladie professionnelle.</w:t>
      </w:r>
    </w:p>
    <w:p>
      <w:r>
        <w:t>A/337/2025 - 14/24 - Est réputé accident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w:t>
      </w:r>
    </w:p>
    <w:p>
      <w:r>
        <w:rPr>
          <w:b/>
        </w:rPr>
        <w:t>E. 3.2</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3.3</w:t>
      </w:r>
    </w:p>
    <w:p>
      <w:r>
        <w:t>Conformément à l’art. 18 al. 1 LAA – dans sa teneur en vigueur à compter du 1er janvier 2017 mais antérieure au 31 décembre 2023, seule applicable ici (cf. a contrario, les dispositions transitoires de l’art. 118 al. 2 let. c LAA) –, si l'assuré est invalide (art. 8 LPGA) à 10% au moins par suite d’un accident, il a droit à une rente d'invalidité, pour autant que l’accident soit survenu avant l’âge ordinaire de la retraite (« avant l’âge de référence » selon la version en vigueur depuis le 1er janvier 2024, qui renvoie à l’âge de 65 ans révolus fixé par l’art. 21 al. 1 de la loi fédérale sur l’assurance-vieillesse et survivants du 20 décembre 1946 [LAVS - RS 831.10]). À teneur de l'art. 19 al. 1 LAA,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 En vertu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 selon la version légale en vigueur dès le 1er janvier 2021 –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w:t>
      </w:r>
    </w:p>
    <w:p>
      <w:r>
        <w:t>A/337/2025 - 15/24 -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w:t>
      </w:r>
    </w:p>
    <w:p>
      <w:r>
        <w:rPr>
          <w:b/>
        </w:rPr>
        <w:t>E. 3.4</w:t>
      </w:r>
    </w:p>
    <w:p>
      <w:r>
        <w:t>Conformément à l’art. 24 LAA, si, par suite de l’accident, l’assuré souffre d’une atteinte importante et durable à son intégrité physique, mentale ou psychique, il a droit à une indemnité équitable pour atteinte à l’intégrité (IPAI ; al. 1). L’indemnité est fixée en même temps que la rente d’invalidité ou, si l’assuré ne peut prétendre une rente, lorsque le traitement médical est terminé. Le Conseil fédéral peut fixer la naissance du droit à un autre moment dans les cas spéciaux, notamment en cas d’atteinte à la santé liée à l’inhalation de fibres d’amiante (al. 2).</w:t>
      </w:r>
    </w:p>
    <w:p>
      <w:r>
        <w:t>A/337/2025 - 16/24 - S’agissant du montant, l’art. 25 LAA précise que l’IPAI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En vertu de l’art. 36 de l’ordonnance sur l'assurance-accidents du 20 décembre 1982 (OLAA - RS 832.202), 1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L’IPAI est calculée selon les directives figurant à l’annexe 3 (al. 2). L'IPAI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w:t>
      </w:r>
    </w:p>
    <w:p>
      <w:r>
        <w:rPr>
          <w:b/>
        </w:rPr>
        <w:t>E. 3.5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3.5.1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w:t>
      </w:r>
    </w:p>
    <w:p>
      <w:r>
        <w:t>A/337/2025 - 17/24 -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3.5.2</w:t>
      </w:r>
    </w:p>
    <w:p>
      <w:r>
        <w:t>Sans remettre en cause le principe de la libre appréciation des preuves, le Tribunal fédéral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w:t>
      </w:r>
    </w:p>
    <w:p>
      <w:r>
        <w:t>A/337/2025 - 18/24 -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Selon une jurisprudence constante, les médecins d'arrondissement ainsi que les spécialistes du centre de compétence de la médecine des assurances de la SUVA sont considérés, de par leur fonction et leur position professionnelle, comme étant des spécialistes en matière de traumatologie, indépendamment de leur spécialisation médicale (arrêt du Tribunal fédéral 8C_626/2021 du 19 janvier 2022 consid. 4.3.1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(arrêt du Tribunal fédéral 8C_469/2020 du 26 mai 2021 consid. 3.2 et les références).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A/337/2025 - 19/24 -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4.1</w:t>
      </w:r>
    </w:p>
    <w:p>
      <w:r>
        <w:t>En l’espèce, il est rappelé que l'intimée, dans la décision sur opposition querellée, a reconnu au recourant le droit à une rente d'invalidité de 17% à compter du 1er décembre 2023, et elle lui a alloué une IPAI de 10%, étant précisé que cette IPAI s’ajoute à celle de 10% aussi déjà octroyée dans le cadre du dossier de sinistre (n° 1______) ayant – apparemment – fait suite à l’accident qui était survenu en 2012 et avait consisté en des fractures de l’omoplate et de l’acromion. Elle a justifié sa position en s'appuyant sur les appréciations de son médecin-conseil G______.</w:t>
      </w:r>
    </w:p>
    <w:p>
      <w:r>
        <w:rPr>
          <w:b/>
        </w:rPr>
        <w:t>E. 4.2</w:t>
      </w:r>
    </w:p>
    <w:p>
      <w:r>
        <w:t>Les rapports médicaux figurant au dossier présentent tous une certaine valeur probante, sans que celle-ci soit toutefois complète pour l’un ou l’autre des rapports. Il n’y a pas de divergences substantielles entre les spécialistes en chirurgie orthopédique et traumatologie de l'appareil locomoteur qui ont examiné l’assuré (Drs G______, G______ et I______) concernant les constatations relatives aux mesures à la mobilisation de l’épaule gauche et même à la douleur lors de mobilisations de celle-ci ainsi que concernant les limitations fonctionnelles afférentes à cette épaule.</w:t>
      </w:r>
    </w:p>
    <w:p>
      <w:r>
        <w:t>A/337/2025 - 20/24 - Notamment, le médecin-conseil G______ partage entièrement les données évaluées par le Dr G______ dans son rapport du 22 janvier 2025, à teneur duquel, entre autres, le recourant « est actuellement extrêmement gêné par son épaule gauche en raison de douleurs intenses, la mobilité est très limitée », et l’intéressé « évalue la fonction de celle-ci à environ 10% de la normale », « les douleurs [étant] permanentes et majorées aux mouvements ». En outre, les Drs G______ et I______ ne se sont pas expressément prononcés sur les limitations fonctionnelles, au contraire du Dr G______ et – dans une moindre mesure – de la CRR. Ainsi, celles qui sont en lien avec l’accident du 22 octobre 2020 consistent en substance en l’évitement du port de charges de plus de 3 kg pour le membre supérieur gauche ainsi que des maniements d’outils lourds et de tous les travaux de force au-dessus de la tête et répétitifs (cf. notamment décision sur opposition attaquée et « appréciations médicales » du Dr G______ des 5 juin et 27 novembre 2023), et l’activité devrait être de type sédentaire et devrait permettre les modifications des positions assise et debout (cf. « appréciations médicales » du Dr G______ précitées).</w:t>
      </w:r>
    </w:p>
    <w:p>
      <w:r>
        <w:rPr>
          <w:b/>
        </w:rPr>
        <w:t>E. 4.3</w:t>
      </w:r>
    </w:p>
    <w:p>
      <w:r>
        <w:t>Par ailleurs, au plan médical, ni les Drs G______ et I______ ni même le Dr G______ ne se prononcent de manière claire et motivée sur la capacité de travail ou le rendement de l’intéressé, cette question étant essentiellement tranchée par la SUVA dans ses décisions. En particulier, le Dr G______, s’il mentionne certes dans son rapport du 22 janvier 2025 des effets néfastes pour l’assuré de ses atteintes à l’épaule gauche, notamment une gêne extrême due à des douleurs intenses, de même qu’une mobilité très limitée de ce membre, ne se prononce jamais dans ses rapports sur la capacité de travail. Il ne le fait pas que dans ses certificats d’arrêt de travail (capacité de travail nulle pour cause d’accident), qui couvrent à tout le moins la période du 1er septembre 2021 au 3 décembre 2023, le dernier certificat étant celui du 25 octobre 2023 et l’absence de certificats pour la suite pouvant s’expliquer par la cessation du versement des indemnités journalières à partir du 1er décembre 2023. Quant au médecin-conseil G______, il ne se prononce jamais expressément au sujet de la capacité de travail ou du rendement, mais ne parle que de limitations fonctionnelles et d’exigibilité. On peut toutefois déduire de ses avis une absence d’incapacité de travail ou de baisse de rendement, mais, en tout état de cause, ceci n’est pas suffisamment motivé. En revanche, dans son rapport du 30 janvier 2025, la médecin généraliste L______ écrit que, la fonctionnalité de l’épaule gauche étant estimée à moins de 5%, une éventuelle reprise professionnelle dans un métier physique est impossible. De plus, selon elle, les douleurs provoquées par cette épaule ont un</w:t>
      </w:r>
    </w:p>
    <w:p>
      <w:r>
        <w:t>A/337/2025 - 21/24 - impact global sur les capacités physique et intellectuelle du patient (insomnies, troubles de la concentration, etc.). De surcroît, l’appréciation du SMR émise dans son rapport du 1er mars 2024, sur lequel se fonde la décision de l’OAI du 7 mai 2024 octroyant une rente entière d’invalidité à l’intéressé, pourrait être comprise comme considérant les suites du traumatisme du 22 octobre 2020 ainsi que celles de l’accident du</w:t>
      </w:r>
    </w:p>
    <w:p>
      <w:r>
        <w:rPr>
          <w:b/>
        </w:rPr>
        <w:t>E. 4.4</w:t>
      </w:r>
    </w:p>
    <w:p>
      <w:r>
        <w:t>Conformément à la jurisprudence citée plus haut, un renvoi à l'administration reste possible quand il est fondé uniquement sur une question restée complètement non instruite jusqu'ici. En l'occurrence, concernant la question de la capacité de travail et/ou du rendement, l’instruction médicale de la cause s’avère très insuffisante. Partant, la cause sera renvoyée à l’intimée pour instruction complémentaire approfondie de la situation médicale du recourant ainsi que de son évolution et de ses effets, en matière notamment de capacité de travail, rendement et limitations fonctionnelles, puis nouvelle décision. Cette instruction complémentaire prendra en compte l'évolution de l'état de fait jusqu'au prononcé de la nouvelle décision qui sera rendue et comprendra à tout le moins une expertise (art. 44 LPGA) au plan orthopédique. Le ou les experts auront accès au précédent dossier de sinistre de la caisse (n° 1______), de même qu’à l’entier du dossier AI, dont la SUVA devra demander l’apport à l’OAI. Les questions auxquelles le ou les experts devront répondre porteront notamment sur les diagnostics du point de vue orthopédique, leur évolution, la capacité de travail, le rendement et les limitations fonctionnelles, et ce en examinant leur lien de causalité avec l’accident du 22 octobre 2020, voire aussi avec celui de 2012 ayant donné lieu au dossier de sinistre n° 1______ précité, étant précisé que l’intimée devra déterminer quel éventuel effet ce précédent accident pourrait encore avoir.</w:t>
      </w:r>
    </w:p>
    <w:p>
      <w:r>
        <w:rPr>
          <w:b/>
        </w:rPr>
        <w:t>E. 4.5</w:t>
      </w:r>
    </w:p>
    <w:p>
      <w:r>
        <w:t>Pour ce qui est de la fixation du taux de l’IPAI, le médecin-conseil G______, dans son estimation du 27 novembre 2023, conclut à une atteinte à l’intégrité de 10% pour le présent cas qui fait suite à l’accident du 22 octobre 2020, en plus de</w:t>
      </w:r>
    </w:p>
    <w:p>
      <w:r>
        <w:t>A/337/2025 - 22/24 - l’atteinte à l’intégrité de de 10% qui a déjà été évaluée dans le dossier n° 1______, également pour l’épaule gauche, évaluation à laquelle il convient selon lui de se référer. Ceci donne une IPAI de 20% au total. Ledit médecin-conseil fait état d’une mobilité de l’épaule gauche assez limitée avec une élévation active à 45° en actif et 90° en passif et avec une diminution globale des rotations interne et externe et avec une force globalement faible ainsi qu’un score de Constant de 9%, tandis que le Dr G______, dans son rapport du 22 janvier 2025, évalue le « score d’auto constant » à 4 et indique une mobilité active et passive extrêmement limitée avec en actif une élévation de 30° « et rotation externe 0° rotation interne à la fesse et en passif 45° d’élévation antérieure et 15° de rotation externe ». Dans son estimation du 27 novembre 2023 précitée, le Dr G______ retient « une arthrose grave, contexte d’arthrose gléno-humérale gauche », ce à quoi s’ajoute « le contexte d’instabilité ». C’est apparemment en raison de cette arthrose qu’il applique le tableau n° 5 de la SUVA « Atteinte à l’intégrité résultant d’arthroses ». Il est vrai qu’on peut s’interroger pour quels motifs le médecin-conseil n’a pas retenu un taux d’atteinte à l’intégrité supérieur à 10% pour les suites de l’accident du 22 octobre 2020, le tableau n° 5 précité permettant d’atteindre 10 à 25% en cas d’arthrose grave « de l’épaule (gléno-humérale) ». À cet égard, à teneur dudit tableau, « si l’articulation considérée présente une instabilité en plus de l’arthrose, on retiendra le taux d’atteinte à l’intégrité le plus élevé ». De surcroît, à l’instar du recourant, on ignore pourquoi le tableau n° 1 de la SUVA « Atteinte à l’intégrité résultant de troubles fonctionnels des membres supérieurs », qui énonce plusieurs taux entre 10 et 30% concernant l’épaule, n’a pas été pris en considération par le Dr G______. Cela étant, s’agissant également de l’IPAI, la cause doit être considérée comme très insuffisamment instruite par l’intimée, un renvoi à celle-ci s’imposant également concernant cette question.</w:t>
      </w:r>
    </w:p>
    <w:p>
      <w:r>
        <w:rPr>
          <w:b/>
        </w:rPr>
        <w:t>E. 4.6</w:t>
      </w:r>
    </w:p>
    <w:p>
      <w:r>
        <w:t>Ce qui précède rend, dans le cadre de la présente procédure de recours, inutile une éventuelle audition par la chambre de céans des parties ainsi que des Drs G______, I______ et L______, de même que l’ajout de considérants au sujet du taux d’abattement du salaire – statistique – avec invalidité. 5. Vu ce qui précède, le recours sera partiellement admis (vu les conclusions principales du recours en octroi d’une rente d’invalidité et d’une IPAI d’au minimum 50% toutes deux), la décision sur opposition querellée sera annulée et la cause sera renvoyée à l'intimée pour instruction complémentaire et nouvelle décision, dans le sens des considérants. 6. Le recourant obtenant en majeure partie gain de cause, une indemnité de CHF 2'500.- lui sera accordée à titre de participation à ses frais et dépens (art. 61</w:t>
      </w:r>
    </w:p>
    <w:p>
      <w:r>
        <w:t>A/337/2025 - 23/24 - let. g LPGA ; art. 6 du règlement sur les frais, émoluments et indemnités en matière administrative du 30 juillet 1986 [RFPA - E 5 10.03]). La procédure est gratuite (art. 89H al. 1 LPA et vu l'art. 61 let. fbis LPGA).</w:t>
      </w:r>
    </w:p>
    <w:p>
      <w:r>
        <w:t>A/337/2025 - 24/24 - PAR CES MOTIFS, LA CHAMBRE DES ASSURANCES SOCIALES : Statuant À la forme :</w:t>
      </w:r>
    </w:p>
    <w:p>
      <w:r>
        <w:rPr>
          <w:b/>
        </w:rPr>
        <w:t>E. 8</w:t>
      </w:r>
    </w:p>
    <w:p>
      <w:r>
        <w:t>décembre 2012 (ayant apparemment donné lieu au dossier de sinistre n° 1______) comme causes d’une partie de l’incapacité totale de travail. Dans ces circonstances, on ne peut pas exclure que la mobilité et la force très limitées de l’épaule gauche entraveraient en tout ou en partie l’exercice par le recourant d’un grand nombre d’activités professionnelles, même sédentaires, voire – dans une certaine mesure – de l’ensemble des activités possibles, notamment par une éventuelle surutilisation du membre supérieur droit, ni qui les douleurs intenses à l’épaule gauche réduisent la concentration et l’endurance de l’assuré dans l’accomplissement de l’ensemble des tâches.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