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ATAS/862/2020 vom 13. Oktober 2020</w:t>
      </w:r>
    </w:p>
    <w:p>
      <w:r>
        <w:t>GE Cour de justice, 2020-10-13, FR</w:t>
      </w:r>
    </w:p>
    <w:p>
      <w:r>
        <w:rPr>
          <w:b/>
        </w:rPr>
        <w:t xml:space="preserve">Quelle: </w:t>
      </w:r>
      <w:r>
        <w:t>https://mcp.opencaselaw.ch/entscheid/ge_gerichte_ATAS_862_2020</w:t>
      </w:r>
    </w:p>
    <w:p>
      <w:r>
        <w:t>FR: GE_GERICHTE ATAS/862/2020 du 13 octobre 2020</w:t>
      </w:r>
    </w:p>
    <w:p>
      <w:r>
        <w:t>IT: GE_GERICHTE ATAS/862/2020 del 13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révocation de l’AIT.</w:t>
      </w:r>
    </w:p>
    <w:p>
      <w:r>
        <w:rPr>
          <w:b/>
        </w:rPr>
        <w:t>E. 3</w:t>
      </w:r>
    </w:p>
    <w:p>
      <w:r>
        <w:t>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w:t>
      </w:r>
    </w:p>
    <w:p>
      <w:r>
        <w:rPr>
          <w:b/>
        </w:rPr>
        <w:t>E. 4</w:t>
      </w:r>
    </w:p>
    <w:p>
      <w:r>
        <w:t>Bien que les assurés soient eux-mêmes titulaires du droit aux allocations d’initiation au travail, celles-ci sont versées par la caisse à l’employeur ; ce dernier les verse à son tour à l’assuré avec le salaire convenu (art. 90 al. 4 OACI).</w:t>
      </w:r>
    </w:p>
    <w:p>
      <w:r>
        <w:t>A/737/2020 - 4/8 -</w:t>
      </w:r>
    </w:p>
    <w:p>
      <w:r>
        <w:rPr>
          <w:b/>
        </w:rPr>
        <w:t>E. 5</w:t>
      </w:r>
    </w:p>
    <w:p>
      <w:r>
        <w:t>Selon le Bulletin LACI/MMT J27, janvier 2019, du SÉCO, l’employeur s’engage à remplir un certain nombre d’obligations. Afin que l’employeur soit parfaitement informé, il est ainsi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w:t>
      </w:r>
    </w:p>
    <w:p>
      <w:r>
        <w:rPr>
          <w:b/>
        </w:rPr>
        <w:t>E. 6</w:t>
      </w:r>
    </w:p>
    <w:p>
      <w:r>
        <w:t>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D’après la jurisprudence, les faits invoqués par la partie qui résilie doivent avoir entraîné la perte du rapport de confiance qui constitue le fondement du contrat de travail. Seul un manquement</w:t>
      </w:r>
    </w:p>
    <w:p>
      <w:r>
        <w:t>A/737/2020 - 5/8 -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 129 III 380 consid. 2.2 p. 382). 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w:t>
      </w:r>
    </w:p>
    <w:p>
      <w:r>
        <w:rPr>
          <w:b/>
        </w:rPr>
        <w:t>E. 7</w:t>
      </w:r>
    </w:p>
    <w:p>
      <w:r>
        <w:t>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C 15/05 du 23 mars 2006 consid. 4.3 ; arrêt du Tribunal fédéral des assurances C 14/02 du</w:t>
      </w:r>
    </w:p>
    <w:p>
      <w:r>
        <w:rPr>
          <w:b/>
        </w:rPr>
        <w:t>E. 10</w:t>
      </w:r>
    </w:p>
    <w:p>
      <w:r>
        <w:t>Le motif de résiliation invoqué dans la lettre de licenciement tenait à l’absence de travail en suffisance pour maintenir le contrat de travail. Ce motif imputable à l’employeur ne constitue pas un juste motif au sens de l’art. 337 CO. Des manquements de l’employé n’ont été invoqués par le recourant que dans son recours. En outre, ces manquements n’ont pas justifié le licenciement, selon les déclarations de l’employeur lors de son audition par la chambre de céans, le manque de travail ayant été le principal motif de licenciement. Les difficultés liées à des problèmes de santé de l’employé ou le fait que certaines tâches confiées à ce dernier n’avaient pas été correctement remplies soulevées dans l’écriture de recours ne sont d’ailleurs sans aucune corrélation avec le motif de résiliation indiqué à l’employé lors du licenciement. En outre, ni les raisons de santé ni le fait que certaines tâches exécutées n’aient pas été un « véritable succès » ne peuvent être comparés à des fautes graves susceptibles de rompre la confiance entre les parties, ce que le recourant n’a au demeurant pas soutenu lors de son audition ni même sous-entendu dans la mesure où il a indiqué qu’il aurait préféré pouvoir maintenir le contrat s’il avait eu suffisamment de travail et les ressources pour le faire. En conséquence, ce licenciement, donné dans les trois mois suivant la fin de l’AIT et pour un motif qui ne peut être considéré comme un juste motif au sens de la disposition précitée, entraîne l’obligation de rembourser l’AIT octroyée. Le fait pour le recourant d’avoir mal compris le règlement, de s’être trompé dans le délai de congé à respecter vis-à-vis de son employé et conformément à l’engagement pris envers l’intimé en tant que bénéficiaire de l’AIT ou celui d’avoir corrigé le licenciement a posteriori ne sont pas pertinents. En effet, chacun est informé de ses obligations lorsqu’il bénéficie d’une aide du chômage, doit respecter ses engagements et ne peut se retrancher derrière une méconnaissance de la loi.</w:t>
      </w:r>
    </w:p>
    <w:p>
      <w:r>
        <w:rPr>
          <w:b/>
        </w:rPr>
        <w:t>E. 11</w:t>
      </w:r>
    </w:p>
    <w:p>
      <w:r>
        <w:t>Par conséquent la décision de révocation des AIT est fondée.</w:t>
      </w:r>
    </w:p>
    <w:p>
      <w:r>
        <w:rPr>
          <w:b/>
        </w:rPr>
        <w:t>E. 12</w:t>
      </w:r>
    </w:p>
    <w:p>
      <w:r>
        <w:t>Les arguments du recourant à propos de son erreur au sujet de la date du licenciement et du délai de congé, de son éventuelle bonne foi et de la précarité de sa situation financière s’il était tenu de rembourser les AIT perçues ne sont pas des critères pertinents dans le contexte du présent litige.</w:t>
      </w:r>
    </w:p>
    <w:p>
      <w:r>
        <w:rPr>
          <w:b/>
        </w:rPr>
        <w:t>E. 13</w:t>
      </w:r>
    </w:p>
    <w:p>
      <w:r>
        <w:t>Il lui est toutefois rappelé que la question de sa bonne foi et de sa situation financière sont des éléments qui pourront être examinés par l’OCE, dans une procédure subséquente, si le recourant demande la remise de l’obligation de restituer à l’OCE.</w:t>
      </w:r>
    </w:p>
    <w:p>
      <w:r>
        <w:rPr>
          <w:b/>
        </w:rPr>
        <w:t>E. 14</w:t>
      </w:r>
    </w:p>
    <w:p>
      <w:r>
        <w:t>Le recours est rejeté.</w:t>
      </w:r>
    </w:p>
    <w:p>
      <w:r>
        <w:t>A/737/2020 - 7/8 -</w:t>
      </w:r>
    </w:p>
    <w:p>
      <w:r>
        <w:rPr>
          <w:b/>
        </w:rPr>
        <w:t>E. 15</w:t>
      </w:r>
    </w:p>
    <w:p>
      <w:r>
        <w:t>Le recourant, qui n’est pas assisté d’un conseil et n’obtient pas gain de cause, n’a pas droit à des dépens.</w:t>
      </w:r>
    </w:p>
    <w:p>
      <w:r>
        <w:rPr>
          <w:b/>
        </w:rPr>
        <w:t>E. 16</w:t>
      </w:r>
    </w:p>
    <w:p>
      <w:r>
        <w:t>La procédure est gratuite. * * * * * *</w:t>
      </w:r>
    </w:p>
    <w:p>
      <w:r>
        <w:t>A/737/2020 - 8/8 -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