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ATAS/862/2016 vom 26. Oktober 2016</w:t>
      </w:r>
    </w:p>
    <w:p>
      <w:r>
        <w:t>GE Cour de justice, 2016-10-26, FR</w:t>
      </w:r>
    </w:p>
    <w:p>
      <w:r>
        <w:rPr>
          <w:b/>
        </w:rPr>
        <w:t xml:space="preserve">Quelle: </w:t>
      </w:r>
      <w:r>
        <w:t>https://mcp.opencaselaw.ch/entscheid/ge_gerichte_ATAS_862_2016</w:t>
      </w:r>
    </w:p>
    <w:p>
      <w:r>
        <w:t>FR: GE_GERICHTE ATAS/862/2016 du 26 octobre 2016</w:t>
      </w:r>
    </w:p>
    <w:p>
      <w:r>
        <w:t>IT: GE_GERICHTE ATAS/862/2016 del 26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La décision querellée a été notifiée au recourant le 30 novembre 2015. Compte tenu de la suspension des délais de recours du 18 décembre au 2 janvier inclus (art. 38 al. 4 let. b LPGA), le recours interjeté le 14 janvier 2016 (date du timbre postal) est recevable (art. 56 et 60 LPGA).</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A/135/2016 - 9/17 -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128 V 29 consid. 1 p. 30 et les arrêts cités). d. Les atteintes à la santé psychique peuvent, comme les atteintes physiques, entraîner une invalidité au sens de l'art. 4 al. 1 LAI en liaison avec l'art. 8 LPGA.</w:t>
      </w:r>
    </w:p>
    <w:p>
      <w:r>
        <w:t>A/135/2016 - 10/17 -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A/135/2016 - 11/17 -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A/135/2016 - 12/17 -</w:t>
      </w:r>
    </w:p>
    <w:p>
      <w:r>
        <w:rPr>
          <w:b/>
        </w:rPr>
        <w:t>E. 7</w:t>
      </w:r>
    </w:p>
    <w:p>
      <w:r>
        <w:t>En l’espèce, le recourant a fait l’objet d’une expertise en 2010, à la demande de l’assureur perte de gain. Le Dr F______ a diagnostiqué une spondylose et spondylarthrose cervicale surtout inférieure, et une hernie discale sous ligamentaires C5-C6 et C6-C7. Lors de la consultation du 25 janvier 2010, le patient n’était pas particulièrement algique. L’expert notait qu’il lui était difficile de mettre en évidence les plaintes du recourant et qu’il n’avait pas trouvé d’expression clinique de ses hernies cervicales. Il avait trouvé une mobilisation facile du rachis cervical, sans douleur particulière et les mobilités ne lui paraissaient presque pas pathologiques. Le recourant devait éviter de pencher sa tête en avant de manière prolongée et d’être soumis à des vibrations. Le patient avait repris son activité à 25% depuis le 7 mai 2009. Une incapacité de travail de 40% dans son activité de nettoyeur lui paraissait raisonnable, en tout cas depuis la date de son examen clinique. Dans une activité adaptée, il lui paraissait apte à travailler à 100%. L’intimé a mis en œuvre une expertise rhumatologique ainsi qu’une expertise psychiatrique afin de déterminer les atteintes à la santé présentées par le recourant et leurs conséquences sur sa capacité de travail, respectivement de gain. Le Dr G______, expert rhumatologue, explique s’être fondé sur le dossier AI du recourant, le dossier radiologique et l’examen clinique du 16 février 2012. Le rapport d’expertise comporte une anamnèse détaillée des antécédents familiaux, personnels et des affections actuelles, une anamnèse systématique, il relate les indications subjectives de l’assuré et fait état des constations objectives. L’expert a ainsi diagnostiqué, avec répercussion sur la capacité de travail, des cervico- brachialgies récurrentes depuis 2008, des troubles dégénératifs et statiques sous- jacents modestes, une discopathie C4-C7 et une hernie discale C6 non conflictuelle. L’expert a noté au status la présence d’un syndrome cervico brachial et lombo- vertébral modéré, sans signe radiculaire irritatif ou déficitaire. Les amplitudes articulaires sont dans les normes, il n’y a pas de signe de synovite ou de ténosynovite, ni de signe parlant en faveur d’une atteinte systémique ou inflammatoire. Le bilan radiologique est rassurant, les lésions radiologiques ne se sont pas péjorées par rapport à février 2010, date de l’expertise du Dr F______. Ces dernières restent cependant modérées et compatibles avec l’évolution due à l’âge. Les limitations fonctionnelles consistent à éviter les mouvements répétitifs en porte-à-faux, avec long bras de levier et le port de charges de plus de 5 à 10 kg de manière répétitive. Dans l’activité antérieure de parqueteur et nettoyeur de chantier, la capacité de travail est de 80% avec diminution de rendement de 20%. Depuis mai 2009, soit six mois après le début de l’arrêt de travail, une reprise de l’activité antérieure à 50% aurait raisonnablement pu être exigée. Une activité adaptée peut être exercée à 100%, sans diminution de rendement. Cette appréciation rejoint celle émise par le Dr F______. Le recourant conteste présenter une capacité de travail de 100% dans une activité adaptée, se référant au rapport de la Dresse K______. Or, au terme dudit rapport – au demeurant fort succinct – force est de constater que ce médecin déclare qu’elle a</w:t>
      </w:r>
    </w:p>
    <w:p>
      <w:r>
        <w:t>A/135/2016 - 13/17 - vu le recourant à trois ou quatre reprises depuis le mois de septembre 2015 pour des douleurs cervicales et qu’elle ne peut se prononcer sur son état de santé dans les années précédentes, ni sur les limitations fonctionnelles. Aucune incapacité de travail n’est attestée, que ce soit dans l’activité habituelle ou dans une activité adaptée. Ce rapport ne permet pas à la chambre de céans de s’écarter des conclusions de l’expertise du Dr G______, dont les conclusions sont claires et convaincantes. Sur le plan psychiatrique, le Dr H______, contrairement à la Dresse I______, a retenu comme diagnostic avec répercussion sur la capacité de travail, un trouble anxieux, sans précision, présent depuis 2010, qui entraîne une incapacité de travail de 30% au plus dans l’activité habituelle depuis mars 2011, moment à partir duquel des troubles psychiques ont été constatés. Dans une activité adaptée respectant les limitations fonctionnelles (activité simple, itérative, comportant des automatismes, n’impliquant pas de responsabilités étendues ni de prise de décisions importantes, n’ayant pas lieu en équipe), la capacité de travail est de 100%, depuis toujours. L’expert explique par ailleurs de manière circonstanciée les motifs qui l’ont amené à écarter les diagnostics retenus par le psychiatre traitant, en particulier le THDA, le trouble de la personnalité et l’épisode dépressif. Ses conclusions sont claires et convaincantes. Dans son rapport du 5 juin 2015, la Dresse I______ reprend ses diagnostics, indique que l’évolution est fluctuante et qu’il y a aggravation, malgré le traitement, la capacité de travail étant de 0%. Elle n’explique cependant pas en quoi consiste l’aggravation de l’état de santé. Ce rapport ne comporte pas d’anamnèse, ni de description précise des limitations. La psychiatre ne se prononce pas non plus sur les conclusions de l’expertise du Dr H______. Ce rapport ne permet pas à la chambre de céans de s’écarter des conclusions de l’expertise du Dr H______, qui doit se voir reconnaître pleine valeur probante. Au vu de ce qui précède, il convient d’admettre que le recourant a présenté une incapacité de travail de 100% dès le 23 novembre 2008 dans son activité habituelle. Depuis mai 2009, une capacité de travail de 50% dans l’activité habituelle est raisonnablement exigible, en raison de ses atteintes à la santé physique; la capacité de travail résiduelle est de 100% dans une activité adaptée respectant les limitations fonctionnelles physiques et psychiques, depuis mai 2009.</w:t>
      </w:r>
    </w:p>
    <w:p>
      <w:r>
        <w:rPr>
          <w:b/>
        </w:rPr>
        <w:t>E. 8</w:t>
      </w:r>
    </w:p>
    <w:p>
      <w:r>
        <w:t>Reste à déterminer le degré d’invalidité du recourant à l’issue de la période d’attente d’un an (soit novembre 2009, cf. art. 28 al. 1 LAI). a. L’intimé a fixé le revenu sans invalidité du recourant pour l’année 2009 à CHF 69'511.-, tel que déterminé par le service des indépendants en fonction de l’évolution de l’entreprise sur la base du bouclement des comptes de l’année 2007 ; il a calculé ce revenu sur la base de la moyenne des revenus des années 2004 à 2007, incluant la perte ou le bénéfice et a réactualisé ce montant à 2009 (pièce no 59 dossier intimé).</w:t>
      </w:r>
    </w:p>
    <w:p>
      <w:r>
        <w:t>A/135/2016 - 14/17 - Il résulte des pièces du dossier qu’avant son atteinte à la santé le recourant percevait un salaire versé par l’entreprise de CHF 65'000.- en 2007 (cf. rapport employeur du 15 février 2010, pièce 12, p. 3, relevé CI pièce 55 p. 1 et certificat de salaire annuel, pièce 12, p. 6 dossier intimé). En 2008, le recourant percevait, selon les renseignements communiqués par l’employeur, un revenu du CHF 5'416.65 par mois, treize fois l’an, ce qui porterait le revenu à CHF 70'416.65 en 2008, alors que selon le certificat de salaire annuel, le salaire était pour cette année-là de CHF 65'000.- et de CHF 60'000.- selon l’extrait des CI. Les comptes de l’année 2008 montrent un résultat de l’exercice de CHF 1'094.- ; ils ne permettent pas d’avoir de précision supplémentaire quant au salaire du recourant, car les charges salariales de CHF 226'000.- comportent les salaires versés à l’ensemble des employés. Au vu de ce qui précède, la chambre de céans considère qu’il se justifie de retenir un revenu sans invalidité pour 2008 de CHF 70'416.65 + CHF 984.60 (18/20ème de CHF 1094.- = part du bénéfice lui revenant), soit CHF 71'401.25. Réactualisé à 2009, le revenu sans invalidité s’élève à CHF 72'918.-. b. Quant au salaire avec invalidité, l’intimé s’est référé aux statistiques salariales résultant de l’Enquête sur la structure des salaires (ESS), tableau TA1, tous secteurs confondus, niveau 4 et a retenu le gain que réaliserait un homme dans une activité simple et répétitive, soit pour l’année 2009 CHF 61'240.- . Après un abattement de 20%, le revenu d’invalide retenu a été fixé à CHF 48'992.- . Ce faisant, l’intimé a considéré que le recourant pouvait exercer une activité adaptée dès 2009 déjà. Toutefois, il sied de rappeler que c’est en l'absence d'un revenu effectivement réalisé - soit lorsque la personne assurée, après la survenance de l'atteinte à la santé, n'a pas repris d'activité lucrative ou alors aucune activité normalement exigible -, que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p. 475). Or, en l’occurrence, le recourant avait repris son activité dans sa société le 7 mai 2009 à raison de 10 heures par semaine (25%), puis à 33 % dès le 19 octobre 2009. Il avait déclaré à l’intimé le 12 janvier 2010 (cf. rapport des conseillers, pièce no 17 intimé) qu’il était lié à son entreprise et que de reprendre même que très partiellement son activité lui avait été bénéfique. Sa société était prospère et en progression continue. Il ne pouvait se résoudre à laisser cette entreprise qu’il avait créée. L’intimé n’a pas examiné au préalable s’il était exigible du recourant qu’il changeât d’activité professionnelle et renonce à son activité indépendante pour exercer une activité salariée adaptée à son état de santé. Il lui incombait à cet égard, au lieu d'admettre un changement professionnel du recourant sans aucune explication, d'examiner au regard de l'ensemble des circonstances objectives et subjectives du</w:t>
      </w:r>
    </w:p>
    <w:p>
      <w:r>
        <w:t>A/135/2016 - 15/17 - cas concret si une telle mesure pouvait être exigée de lui. Parmi d'autres circonstances, il lui appartenait d'examiner si l'activité exercée par le recourant au sein de son entreprise après la survenance de l'atteinte à la santé mettait pleinement en valeur sa capacité de travail résiduelle. Ce n'est que si tel n'est pas le cas que l'assuré de condition indépendante peut être tenu, en fonction des circonstances, de mettre fin à son activité indépendante au profit d'une activité salariée plus lucrative (cf. arrêts 9C_106/2011 du 14 octobre 2011 ; 8C_748/2008 du 10 juin 2009 consid. 4.2). La question de l’exigibilité d’un changement d’activité professionnelle doit faire l’objet d’une discussion avec l’assuré, afin de respecter son droit d’être entendu. Tel n’a pas été le cas en l’espèce. Le droit d’être entendu est une garantie constitutionnelle de caractère formel, dont la violation doit entraîner l'annulation de la décision attaquée, indépendamment des chances de succès du recourant sur le fond (ATF 127 V 431 consid. 3d/aa p. 437; 126 V 130 consid. 2b p. 132 et les arrêts cités). Cela étant, il ne se justifie pas d’annuler la décision pour ce motif. En effet, le recourant a mis fin, de lui-même, à son activité indépendante le 30 novembre 2010, en cédant la totalité de ses parts à son épouse. Ensuite, l’entreprise est tombée en faillite le 14 novembre 2011, de sorte qu’une évaluation concrète de la situation n’est plus possible. Au vu des circonstances concrètes du cas, la chambre de céans est d’avis qu’il convient de retenir une exigibilité de 50% dans l’activité exercée par le recourant au sein de son entreprise, tel que retenu par l’expert G______, dès le 7 mai 2009 et jusqu’au 30 novembre 2010, date à laquelle il a mis fin à son activité indépendante. Par conséquent, l’on peut admettre une perte de gain et un degré d’invalidité de 50% pour cette période, ouvrant droit à une demi-rente d’invalidité. En revanche, à compter du 1er décembre 2010, au regard de l’obligation de réduire le dommage, la chambre de céans retient l’exigibilité d’une capacité de travail de 100% dans une activité adaptée. En comparant le revenu sans invalidité (CHF 72'918.-) avec le revenu d’invalide après un abattement de 20% (CHF 48’992.-), le degré d’invalidité s’élève à 32,81%, arrondi à 33%, insuffisant pour maintenir le droit à la rente. On parvient à la même solution si l’on admettait l’abattement maximum de 25 %, le degré d’invalidité étant alors de 37%. c. Conformément à l’art. 29 al. 1 LAI, la rente peut être versée au plus tôt à l’échéance d’une période de six mois à compter de la date à laquelle l’assuré a fait valoir son droit aux prestations (cf. ATF 9C_953/2011) : le recourant ayant déposé sa demande le 12 janvier 2010, il a droit au versement d’une demi-rente d’invalidité à compter du mois de juillet 2010. Compte tenu d’un degré d’invalidité de 37% dès le 1er décembre 2010, la demi- rente d’invalidité doit être supprimée au 28 février 2011, en application de l’art. 88a al. 1 RAI (cf. ATF 125 V 313).</w:t>
      </w:r>
    </w:p>
    <w:p>
      <w:r>
        <w:t>A/135/2016 - 16/17 -</w:t>
      </w:r>
    </w:p>
    <w:p>
      <w:r>
        <w:rPr>
          <w:b/>
        </w:rPr>
        <w:t>E. 9</w:t>
      </w:r>
    </w:p>
    <w:p>
      <w:r>
        <w:t>Au vu de ce qui précède, le recours est partiellement admis, dans le sens des considérants.</w:t>
      </w:r>
    </w:p>
    <w:p>
      <w:r>
        <w:rPr>
          <w:b/>
        </w:rPr>
        <w:t>E. 10</w:t>
      </w:r>
    </w:p>
    <w:p>
      <w:r>
        <w:t>Le recourant, représenté par un mandataire, a droit à une indemnité à titre de participation à ses frais et dépens fixée en l’espèce à CHF 1’800.- (art. 61 let. g LPGA ; art. 9 du règlement sur les frais, émoluments et indemnités en procédure administrative du 30 juillet 1986 - RFPA - E 5 10.03).</w:t>
      </w:r>
    </w:p>
    <w:p>
      <w:r>
        <w:rPr>
          <w:b/>
        </w:rPr>
        <w:t>E. 11</w:t>
      </w:r>
    </w:p>
    <w:p>
      <w:r>
        <w:t>Étant donné que, depuis le 1er juillet 2006, la procédure n'est plus gratuite (art. 69 al. 1bis LAI), au vu du sort du recours, il y a lieu de condamner l'intimé au paiement d'un émolument de CHF 500.-.</w:t>
      </w:r>
    </w:p>
    <w:p>
      <w:r>
        <w:t>A/135/2016 - 17/17 -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