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ATAS/861/2023 vom 8. November 2023</w:t>
      </w:r>
    </w:p>
    <w:p>
      <w:r>
        <w:t>GE Cour de justice, 2023-11-08, FR</w:t>
      </w:r>
    </w:p>
    <w:p>
      <w:r>
        <w:rPr>
          <w:b/>
        </w:rPr>
        <w:t xml:space="preserve">Quelle: </w:t>
      </w:r>
      <w:r>
        <w:t>https://mcp.opencaselaw.ch/entscheid/ge_gerichte_ATAS_861_2023</w:t>
      </w:r>
    </w:p>
    <w:p>
      <w:r>
        <w:t>FR: GE_GERICHTE ATAS/861/2023 du 8 novembre 2023</w:t>
      </w:r>
    </w:p>
    <w:p>
      <w:r>
        <w:t>IT: GE_GERICHTE ATAS/861/2023 del 8 novembre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Interjeté dans les forme et délai légaux, le recours est recevable (art. 56 à 61 LPGA).</w:t>
      </w:r>
    </w:p>
    <w:p>
      <w:r>
        <w:rPr>
          <w:b/>
        </w:rPr>
        <w:t>E. 4.1</w:t>
      </w:r>
    </w:p>
    <w:p>
      <w:r>
        <w:t>En vertu de l’art. 53 al. 3 LPGA, l’assureur peut reconsidérer une décision contre laquelle un recours est formé jusqu’à l’envoi de son préavis. Il est tenu de notifier sa décision de reconsidération, qui doit remplacer la décision contestée par voie de recours, sans délai aux parties et d’en donner connaissance à</w:t>
      </w:r>
    </w:p>
    <w:p>
      <w:r>
        <w:t>A/2958/2023 - 3/5 - l’autorité de recours (art. 58 al. 2 PA, applicable par renvoi de l’art. 55 al. 1 LPGA). L’autorité de recours doit continuer à traiter le recours dans la mesure où la nouvelle décision de l’assureur social ne l’a pas rendu sans objet (cf. art. 58 al. 3 PA; Commentaire romand de la loi sur la partie générale des assurances sociales éd. par Anne-Sylvie DUPONT / Margit MOSER-SZELESS, 2018, n. 105 et 106 ad art. 53).</w:t>
      </w:r>
    </w:p>
    <w:p>
      <w:r>
        <w:rPr>
          <w:b/>
        </w:rPr>
        <w:t>E. 4.2</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148 V 321 consid. 7.3.1 ; 145 V 209 consid. 5.3 et les références). 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4.3</w:t>
      </w:r>
    </w:p>
    <w:p>
      <w:r>
        <w:t>Selon l’art. 28b al. 2 LAI, dans sa teneur dès le 1er janvier 2022, lorsque le taux d’invalidité est compris entre 50 et 69%, la quotité de la rente correspond au taux d’invalidité (al. 2). Selon l’art. 28 al. 2 LAI dans sa version jusqu’au 31 décembre 2021, l’assuré a droit à une demi-rente s’il est invalide à 50% au moins.</w:t>
      </w:r>
    </w:p>
    <w:p>
      <w:r>
        <w:rPr>
          <w:b/>
        </w:rPr>
        <w:t>E. 5</w:t>
      </w:r>
    </w:p>
    <w:p>
      <w:r>
        <w:t>En l’occurrence, l’intimé a reconsidéré la décision litigieuse, dans sa réponse au recours. En l’absence d’une nouvelle décision formelle, il convient d’admettre le recours, les nouvelles conclusions de l’intimé donnant satisfaction au recourant. Cela étant, dans la mesure où le droit du recourant à rente doit être réduit du fait qu’il a recouvré une capacité de travail de 50% dans une activité adaptée dès le 1er avril 2023, la modification de sa rente doit être déterminée en application des nouvelles dispositions de la LAI, en vigueur depuis le 1er janvier 2022. Il en résulte que le recourant a droit à 52% de rente dès le 1er juillet 2023 - et non à une demi-rente.</w:t>
      </w:r>
    </w:p>
    <w:p>
      <w:r>
        <w:t>A/2958/2023 - 4/5 -</w:t>
      </w:r>
    </w:p>
    <w:p>
      <w:r>
        <w:rPr>
          <w:b/>
        </w:rPr>
        <w:t>E. 6</w:t>
      </w:r>
    </w:p>
    <w:p>
      <w:r>
        <w:t>Le recourant obtenant gain de cause et étant assistée d’un conseil, une indemnité de CHF 2'000.- lui sera accordée à titre de participation à ses frais et dépens (art. 61 let. g LPGA; art. 6 du règlement sur les frais, émoluments et indemnités en matière administrative du 30 juillet 1986 [RFPA - E 5 10.03]). Un émolument de CHF 200.- sera mis à la charge de l'intimé (art. 69 al. 1bis LAI). ***</w:t>
      </w:r>
    </w:p>
    <w:p>
      <w:r>
        <w:t>A/2958/2023 - 5/5 -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