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ATAS/861/2013 vom 3. September 2013</w:t>
      </w:r>
    </w:p>
    <w:p>
      <w:r>
        <w:t>GE Cour de justice, 2013-09-03, FR</w:t>
      </w:r>
    </w:p>
    <w:p>
      <w:r>
        <w:rPr>
          <w:b/>
        </w:rPr>
        <w:t xml:space="preserve">Quelle: </w:t>
      </w:r>
      <w:r>
        <w:t>https://mcp.opencaselaw.ch/entscheid/ge_gerichte_ATAS_861_2013</w:t>
      </w:r>
    </w:p>
    <w:p>
      <w:r>
        <w:t>FR: GE_GERICHTE ATAS/861/2013 du 3 septembre 2013</w:t>
      </w:r>
    </w:p>
    <w:p>
      <w:r>
        <w:t>IT: GE_GERICHTE ATAS/861/2013 del 3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Déposé dans les forme et délai prévus par la loi, le présent recours est recevable (art. 39 al. 1 et 60 al. 2 LPGA).</w:t>
      </w:r>
    </w:p>
    <w:p>
      <w:r>
        <w:rPr>
          <w:b/>
        </w:rPr>
        <w:t>E. 3</w:t>
      </w:r>
    </w:p>
    <w:p>
      <w:r>
        <w:t>Le litige porte sur le droit de l'OAI de réviser sa décision du 16 août 2000, par laquelle la recourante a été mise au bénéfice d'une rente entière d'invalidité.</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A/807/2013 - 9/19 -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Aux termes de l'art. 88bis al. 2 du règlement du 17 janvier 1961 sur l'assurance- invalidité (RAI), la diminution ou la suppression de rente ou de l'allocation pour impotent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5</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w:t>
      </w:r>
    </w:p>
    <w:p>
      <w:r>
        <w:t>A/807/2013 - 10/19 -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t>A/807/2013 - 11/19 -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A/807/2013 - 12/19 -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Force est de constater que ce taux de 68% ne permet pas le maintien d'une rente entière d'invalidité (art. 28 al. 2 LAI). Les conditions de la révision étant réunies, l'intimé était en droit de supprimer la rente entière jusque-là versée à la recourante. Aussi le recours doit-il être rejeté.</w:t>
      </w:r>
    </w:p>
    <w:p>
      <w:r>
        <w:t>A/807/2013 - 19/19 -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