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ATAS/860/2012 vom 26. Juni 2012</w:t>
      </w:r>
    </w:p>
    <w:p>
      <w:r>
        <w:t>GE Cour de justice, 2012-06-26, FR</w:t>
      </w:r>
    </w:p>
    <w:p>
      <w:r>
        <w:rPr>
          <w:b/>
        </w:rPr>
        <w:t xml:space="preserve">Quelle: </w:t>
      </w:r>
      <w:r>
        <w:t>https://mcp.opencaselaw.ch/entscheid/ge_gerichte_ATAS_860_2012</w:t>
      </w:r>
    </w:p>
    <w:p>
      <w:r>
        <w:t>FR: GE_GERICHTE ATAS/860/2012 du 26 juin 2012</w:t>
      </w:r>
    </w:p>
    <w:p>
      <w:r>
        <w:t>IT: GE_GERICHTE ATAS/860/2012 del 26 giugno 2012</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Interjeté dans la forme et le délai légaux, le recours est recevable (art. 56ss LPGA).</w:t>
      </w:r>
    </w:p>
    <w:p>
      <w:r>
        <w:t>A/356/2012 - 5/10 -</w:t>
      </w:r>
    </w:p>
    <w:p>
      <w:r>
        <w:rPr>
          <w:b/>
        </w:rPr>
        <w:t>E. 3</w:t>
      </w:r>
    </w:p>
    <w:p>
      <w:r>
        <w:t>Le litige porte sur la qualification des rémunérations perçues par la coiffeuse d'octobre à décembre 2009 et en 2010 pour l'activité exercée, à titre de salariée ou d'indépendante, pour le compte de X_______.</w:t>
      </w:r>
    </w:p>
    <w:p>
      <w:r>
        <w:rPr>
          <w:b/>
        </w:rPr>
        <w:t>E. 4</w:t>
      </w:r>
    </w:p>
    <w:p>
      <w:r>
        <w:t>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LAVS et art. 6 ss du règlement sur l'assurance-vieillesse et survivants, du 31 octobre 1947 - ci-après: RAVS).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LPGA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ATSG-Kommentar, Zurich 2003, ad art. 10, n° 8 et ad art. 12, n° 5-6).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(ATFA non publié du 19 mai 2006, H 6/05, consid. 2.2; ATF 123 V 162 consid. 1 et les arrêts cités).</w:t>
      </w:r>
    </w:p>
    <w:p>
      <w:r>
        <w:t>A/356/2012 - 6/10 - On peut donner la prépondérance soit au critère risque économique soit à celui du rapport de dépendance, ou à leurs manifestations respectives, suivant les circonstances particulières de chaque cas. Ainsi certaines activités ne requièrent par nature pas «d’investissements élevés» (comme par exemple celles de conseiller ou de «collaborateur libre»). Le rapport de dépendance est alors mis au premier plan.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Certains rapports de service impliquent par nature que le mandant donne des instructions détaillées au mandataire. Dans de telles circonstances, le rapport de subordination n’acquiert de l’importance que s’il dépasse la mesure habituellement observée en pareille occurrence. L’accent sera mis, le cas échéant, sur le risque économique d’entrepreneur (tel est, par exemple, le cas des chauffeurs sous contrat) (DSD, n° 1019).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w:t>
      </w:r>
    </w:p>
    <w:p>
      <w:r>
        <w:t>A/356/2012 - 7/10 -</w:t>
      </w:r>
    </w:p>
    <w:p>
      <w:r>
        <w:rPr>
          <w:b/>
        </w:rPr>
        <w:t>E. 5</w:t>
      </w:r>
    </w:p>
    <w:p>
      <w:r>
        <w:t>Le rapport social de dépendance économique du salarié, respectivement, dans l’organisation du travail, se manifeste notamment par l’existence d’un droit de donner des instructions au salarié, d’un rapport de subordination, de l’obligation de remplir la tâche personnellement, d’une prohibition de faire concurrence, d’un devoir de présence (DSD, nos 1013 à 1015).</w:t>
      </w:r>
    </w:p>
    <w:p>
      <w:r>
        <w:rPr>
          <w:b/>
        </w:rPr>
        <w:t>E. 6</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qui comprend notamment l'obligation d'apporter, dans la mesure où cela peut être raisonnablement exigé d'elles, les preuves commandées par la nature du litige et des faits invoqués, faute de quoi elles risquent de devoir supporter les conséquences de l'absence de preuve (ATFA non publié du 19 mai 2005, H 6/2005, consid. 3.3 et les références citées).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l'EMS estime qu'il n'a pas à s'acquitter de cotisations paritaires AVS/AI sur la base des rémunérations qu'il a versées à la coiffeuse d'octobre à décembre 2009 et en 2010, au motif que celle-ci est de condition indépendante. Il a produit pour preuves, l'attestation de la caisse de compensation auprès de laquelle celle-ci est affiliée comme indépendante depuis le 1er janvier 2009, ainsi que la copie du contrat conclu avec elle le 28 septembre 2009. La caisse a au contraire considéré que la coiffeuse avait exercé au service de l'EMS une activité salariée.</w:t>
      </w:r>
    </w:p>
    <w:p>
      <w:r>
        <w:rPr>
          <w:b/>
        </w:rPr>
        <w:t>E. 8</w:t>
      </w:r>
    </w:p>
    <w:p>
      <w:r>
        <w:t>Le contrat du 28 septembre 2009 est dénommé contrat de mandat, ce qui plaiderait plutôt en faveur d'une activité indépendante. Il y a cependant lieu de rappeler que, quelque soient les termes employés dans le contrat, ils ne sont pas déterminants pour la qualification du statut. Des rétributions découlant d’un mandat, d’un contrat d’agence, d’un contrat d’entreprise ou d’un autre contrat peuvent ainsi parfaitement appartenir au salaire déterminant au sens de l'art. 5 al. 2 LAVS.</w:t>
      </w:r>
    </w:p>
    <w:p>
      <w:r>
        <w:t>A/356/2012 - 8/10 -</w:t>
      </w:r>
    </w:p>
    <w:p>
      <w:r>
        <w:rPr>
          <w:b/>
        </w:rPr>
        <w:t>E. 9</w:t>
      </w:r>
    </w:p>
    <w:p>
      <w:r>
        <w:t>Le fait que la coiffeuse soit affiliée à une caisse de compensation en qualité de travailleur indépendant n'empêche pas que la rétribution, dont il est question, puisse néanmoins faire partie du salaire déterminant (DSD, n° 1026). Il peut se produire qu'une même personne exerce parallèlement deux types d'activités, l'une en tant que salariée, l'autre en tant qu'indépendante. Il n'est pas contesté à cet égard que la coiffeuse exerce une activité à titre indépendant lorsqu'elle coiffe sa propre clientèle.</w:t>
      </w:r>
    </w:p>
    <w:p>
      <w:r>
        <w:rPr>
          <w:b/>
        </w:rPr>
        <w:t>E. 10</w:t>
      </w:r>
    </w:p>
    <w:p>
      <w:r>
        <w:t>Il appert de la partie en fait qui précède que la coiffeuse travaillait dans les locaux de X________. Le salon de coiffure était gracieusement mis à sa disposition. Elle bénéficiait dès lors de l'infrastructure de son lieu de travail. Elle n'opérait pas d'investissement important et ne supportait pas de frais généraux. Le salon était en effet mis gratuitement à sa disposition et l'équipement, ainsi que les produits cosmétiques, étaient à la charge de X_______. Elle établissait chaque mois une facture détaillée qu'elle remettait à la direction de l'EMS le 5 du mois suivant au plus tard. Le paiement intervenait dans les 15 jours. Elle ne courait dès lors aucun risque économique. Le fait par ailleurs qu'elle ait été rémunérée sur la base d'un tarif horaire n'est pas incompatible avec une activité salariée. Il y a au surplus lieu de constater que s'il avait été mis fin à son mandat, selon le contrat du 28 septembre 2009, elle se serait retrouvée dans une situation semblable à celle d’un salarié qui perd son emploi, ce qui représente une caractéristique typique d’une activité lucrative salariée. Il importe du reste de relever que le mandat ne prévoit aucun terme. Or, un élément permettant de qualifier la rétribution compte tenu du lien de dépendance de celui qui la perçoit est le fait qu'il s'agit d'une collaboration régulière, autrement dit que l'employé est régulièrement tenu de fournir ses prestations au même employeur (ATF 110 V 78 s. consid. 4b). La coiffeuse était certes autonome dans l'exercice de son activité, dans la mesure où elle ne recevait aucune instruction quant à l'exercice de son métier, qu'elle fixait elle-même les rendez-vous et qu'elle gérait la facturation, les commandes et le stock. On ne saurait toutefois tirer de cette autonomie aucun argument en faveur d'une activité indépendante. L'activité de coiffeuse au sein d'un établissement comme X_______ implique par nature que ce dernier ne puisse donner des instructions précises quant à la façon d'organiser le travail de coiffure lui-même. La coiffeuse souligne qu'elle choisissait elle-même ses horaires de travail. La possibilité pour le travailleur d'organiser son horaire de travail ne signifie toutefois pas nécessairement qu'il s'agit d'une activité indépendante (ATF 122 V 172).</w:t>
      </w:r>
    </w:p>
    <w:p>
      <w:r>
        <w:t>A/356/2012 - 9/10 - Il est en outre expressément prévu dans le contrat du 28 septembre 2009 qu'elle devait appliquer les tarifs en vigueur pour les résidents et le personnel, entretenir et nettoyer le salon, et collaborer avec les services internes de X_______. Force est ainsi de constater qu'il y avait bel et bien un rapport de subordination de la coiffeuse envers X__________, quand bien même ce rapport n'est pas aussi important qu'il pourrait l'être dans d'autres circonstances. Il est vrai que la coiffeuse avait la possibilité d'avoir d'autres clients, ce toutefois seulement dans les limites de la disponibilité restante. Peu importe à cet égard qu'il lui restait en réalité beaucoup de temps. Ce qui est déterminant est le fait qu'elle devait accorder la priorité aux résidents et au personnel de X________. Il est du reste significatif que pour les clients externes, une rétrocession partielle des prestations qu'elle facturait à ceux-ci, revenait à X_______ pour la mise à disposition de l'équipement et du salon. La différence de traitement s'agissant de la facturation entre les résidents et les clients externes montre bien la différence de statut pour la coiffeuse. Rien ne l'empêchait en effet d'exercer une activité indépendante s'agissant de ses propres clients.</w:t>
      </w:r>
    </w:p>
    <w:p>
      <w:r>
        <w:rPr>
          <w:b/>
        </w:rPr>
        <w:t>E. 11</w:t>
      </w:r>
    </w:p>
    <w:p>
      <w:r>
        <w:t>Force est en conséquence de constater que les caractéristiques d'une activité salariée sont en l'espèce prédominantes, de sorte que le recours ne peut être que rejeté.</w:t>
      </w:r>
    </w:p>
    <w:p>
      <w:r>
        <w:t>A/356/2012 - 10/10 -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