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ATAS/85/2025 vom 13. Februar 2025</w:t>
      </w:r>
    </w:p>
    <w:p>
      <w:r>
        <w:t>GE Cour de justice, 2025-02-13, FR</w:t>
      </w:r>
    </w:p>
    <w:p>
      <w:r>
        <w:rPr>
          <w:b/>
        </w:rPr>
        <w:t xml:space="preserve">Quelle: </w:t>
      </w:r>
      <w:r>
        <w:t>https://mcp.opencaselaw.ch/entscheid/ge_gerichte_ATAS_85_2025</w:t>
      </w:r>
    </w:p>
    <w:p>
      <w:r>
        <w:t>FR: GE_GERICHTE ATAS/85/2025 du 13 février 2025</w:t>
      </w:r>
    </w:p>
    <w:p>
      <w:r>
        <w:t>IT: GE_GERICHTE ATAS/85/2025 del 13 febbraio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en temps utile, compte tenu de la suspension des délais pendant la période du 18 décembre au 2 janvier inclusivement (art. 38 al. 4 let. c LPGA et art. 89C let. c LPA), le recours est recevable (art. 60 al. 1 LPGA). 2. Le litige porte sur la validité de la demande en restitution du 23 juillet 2020 des prestations complémentaires, subsides à l'assurance-maladie et frais de maladie versés au recourant du 1er août 2013 au 31 août 2019. 3.</w:t>
      </w:r>
    </w:p>
    <w:p>
      <w:r>
        <w:t>3.1 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 Du point de vue temporel, sous réserve de dispositions particulières de droit transitoire, le droit applicable est déterminé par les règles en vigueur au moment où les faits juridiquement déterminants se sont produits, étant précisé que le juge</w:t>
      </w:r>
    </w:p>
    <w:p>
      <w:r>
        <w:t>A/252/2024 - 6/15 - n'a en principe pas à prendre en considération les modifications du droit postérieures à la date déterminante de la décision administrative litigieuse (ATF 144 V 210 consid. 4.3.1 et les références ; 136 V 24 consid. 4.3 ; 130 V 445 consid. 1 et les références ; 129 V 1 consid. 1.2 et les références). Dans la mesure où le recours porte sur la restitution de prestations complémentaires versées du 1er août 2013 au 31 août 2019, période antérieure au 1er janvier 2021, le litige reste soumis à l'ancien droit, en l'absence de dispositions transitoires prévoyant une application rétroactive du nouveau droit. Les dispositions légales et réglementaires seront donc citées ci-après dans leur teneur en vigueur jusqu'au 31 décembre 2020. 3.2 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3.3 Au plan cantonal, l'art. 24 al. 1 1ère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w:t>
      </w:r>
    </w:p>
    <w:p>
      <w:r>
        <w:t>A/252/2024 - 7/15 -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Conformément à l’art. 33 de la loi d’application de la loi fédérale sur l’assurance- maladie du 29 mai 1997 (LaLAMal - J 3 05), les subsides indûment touchés doivent être restitués en appliquant par analogie l'article 25 de la LPGA (al. 1). Lorsque des subsides ont été indûment touchés par un bénéficiaire des prestations du service, ce service peut en demander la restitution au nom et pour le compte du service de l'assurance-maladie (al. 2). 3.4 En vertu de l'art. 25 al. 2 LPGA (dans sa teneur en vigueur jusqu'au 31 décembre 2020),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(cf. ATF 134 V 353 consid. 3.1 et les références). Le délai de péremption absolu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Contrairement à l'art. 67 de la loi fédérale du 30 mars 1911, complétant le Code civil suisse (CO, Code des obligations -</w:t>
      </w:r>
    </w:p>
    <w:p>
      <w:r>
        <w:t>A/252/2024 - 8/15 - RS 220), le délai de péremption d'une année de l'art. 25 al. 2 LPGA ne commence ainsi pas à courir lors de la connaissance effective, mais déjà au moment où le créancier aurait pu reconnaître, en faisant preuve de l'attention nécessaire, que les conditions d'une prétention en restitution étaient remplies (arrêt du Tribunal fédéral K 70/06 du 30 juillet 2007 consid. 5.1 non publié in ATF 133 V 579 et les références).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Pour que le délai de prescription plus long prévu par le droit pénal s'applique, il n'est pas nécessaire que l'auteur de l'infraction ait été condamné (ATF 140 IV 206 consid. 6.2 et les références ; arrêt du Tribunal fédéral 9C_97/2020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10</w:t>
      </w:r>
    </w:p>
    <w:p>
      <w:r>
        <w:t>janvier 2013 consid. 6.2.4). Il peut donc être tenu pour établi, à tout le moins en l'absence d'indices contraires, que l'autorité en prend connaissance à la date indiquée. Dans le cas d'espèce, il peut par conséquent être retenu que l'intimé a été informé le 3 juin 2019 que le recourant disposait d'avoirs et de biens immobiliers au Portugal. Dans cette mesure, la demande d'instruction complémentaire du recourant visant à ce que l'intimé fournisse des preuves de la date à laquelle il a consulté la base de données de l'AFC apparaît inutile.</w:t>
      </w:r>
    </w:p>
    <w:p>
      <w:r>
        <w:t>A/252/2024 - 13/15 - Il reste à déterminer si les informations dont l'intimé a eu connaissance le 3 juin 2019 étaient suffisantes pour fonder une demande de restitution de prestations, ou si d'autres investigations devaient être menées par ses soins avant de statuer par décision. L'intimé soutient que tel n’est pas le cas, puisqu’il devait connaître la valeur vénale des biens immobiliers situés à l'étranger. Certes, aux termes de l'art. 17a al. 4 OPC AI/AVS, lorsque des immeubles ne servent pas d’habitation au requérant ou à une personne comprise dans le calcul de la prestation complémentaire, ils doivent être pris en compte à la valeur vénale. S'agissant des immeubles sis à l'étranger, on peut se fonder sur une estimation établie à l’étranger s’il n’est pas raisonnablement possible de procéder à une autre estimation (ch. 3445.04 des directives concernant les prestations complémentaires à l’AVS et à l’AI [DPC]). C’est la raison pour laquelle l'intimé a réclamé à son bénéficiaire des estimations officielles de la valeur vénale et de la valeur locative des biens sis au Portugal, le jour même où il a initié la révision. Sans réponse de l’intéressé, malgré deux relances, le SPC a finalement mis en terme au versement des prestations pour cause d'absence de collaboration, ensuite de quoi lui sont enfin parvenues certaines pièces, le 30 septembre 2019. Contrairement à ce qu'affirme l'intimé, ce n’est pas ce jour-là qu’il a obtenu les documents sollicités pour établir la valeur vénale des biens. Les pièces transmises à cette date par le recourant consistaient en effet en des factures d'impôt des autorités portugaises, des déclarations de biens immobiliers signées pour lui et son épouse (partiellement remplies, seul un bien étant mentionné), des extraits bancaires suisses et portugais, des attestations des rentes du premier et du deuxième pilier et des documents afférents à la location de l'appartement en Suisse ; aucune évaluation de la valeur vénale ou estimation de la valeur locative n’était fournie. Cela n'a pas empêché l'intimé de procéder à de nouveaux calculs et de réclamer la restitution de toutes les prestations versées depuis le 1er juin 2013, par décision du 23 juillet 2020. Concernant le montant de la fortune immobilière, on constate que le montant de CHF 267'907.- retenu dans cette décision correspond aux chiffres pris en considération par l'AFC dans son avis de taxation immobilier du 6 juin 2019 (addition de la valeur répertoriée des trois biens, soit CHF 155'007.-, CHF 63'430.- et CHF 49'470.-). Les données de l'AFC mentionnaient en outre les dettes et intérêts hypothécaires, ainsi que l'état de la fortune mobilière. Le résultat du calcul réalisé le 3 juin 2019 lors de l'examen provisoire du droit aux prestations aboutissait par ailleurs déjà à une différence entre les dépenses reconnues et le revenu déterminant de plus de CHF 20'000.-, ce qui a conduit l'intimé à suspendre provisoirement le droit aux prestations. Au vu des données disponibles le 3 juin 2019, il apparaissait ainsi clairement que le recourant n'avait pas droit aux prestations complémentaires et que les versements effectués en sa faveur depuis décembre 2012 l’avaient été à tort, ses ressources dépassant largement ses besoins. L'intimé ne précise pas quelles</w:t>
      </w:r>
    </w:p>
    <w:p>
      <w:r>
        <w:t>A/252/2024 - 14/15 - données issues des pièces communiquées le 30 septembre 2019 auraient modifié cette appréciation, les justificatifs remis étant au demeurant de même nature que ceux transmis à l’AFC et ayant uniquement permis d'affiner les calculs, sans modifier le résultat final, à savoir la restitution intégrale des diverses prestations accordées. Au surplus, quand bien même la demande de l'intimé visant à obtenir des informations sur la valeur vénale des biens aurait été suivie d'effet, on ne voit pas qu'une telle réponse aurait influencé l'issue de la procédure, la valeur marchande d'un bien étant notoirement plus élevée que sa valeur fiscale. Dans ces circonstances, il doit être conclu que le délai de péremption d'une année a commencé à courir le 3 juin 2019, les éléments au dossier permettant alors déjà de reconnaître que les prestations avaient été versées à tort et de fixer l’étendue de la restitution à réclamer. La situation du cas d'espèce se distingue ainsi de celle décrite par exemple dans l'ATAS/955/2013 du 26 septembre 2013 (l'autorité n’avait eu connaissance, dans un premier temps, que de l’existence d'un immeuble à l'étranger, sans en connaître sa valeur). La décision en restitution ayant été rendue le 23 juillet 2020, il sied de constater qu'elle a été formulée tardivement, le délai de péremption relatif d'une année étant déjà échu à cette date. 5. Partant, le recours est admis et la décision sur opposition du 6 décembre 2023 annulée. Le recourant obtenant gain de cause, une indemnité de CHF 2'500.- lui est accordée à titre de participation à ses frais et dépens (art. 61 let. g LPGA ; art. 6 du règlement sur les frais, émoluments et indemnités en matière administrative du 30 juillet 1986 [RFPA - E 5 10.03]). Pour le surplus, la procédure est gratuite (art. 61 let. fbis LPGA a contrario et 89H al. 1 LPA).</w:t>
      </w:r>
    </w:p>
    <w:p>
      <w:r>
        <w:t>A/252/2024 - 15/15 -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