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ATAS/85/2018 vom 30. Januar 2018</w:t>
      </w:r>
    </w:p>
    <w:p>
      <w:r>
        <w:t>GE Cour de justice, 2018-01-30, FR</w:t>
      </w:r>
    </w:p>
    <w:p>
      <w:r>
        <w:rPr>
          <w:b/>
        </w:rPr>
        <w:t xml:space="preserve">Quelle: </w:t>
      </w:r>
      <w:r>
        <w:t>https://mcp.opencaselaw.ch/entscheid/ge_gerichte_ATAS_85_2018</w:t>
      </w:r>
    </w:p>
    <w:p>
      <w:r>
        <w:t>FR: GE_GERICHTE ATAS/85/2018 du 30 janvier 2018</w:t>
      </w:r>
    </w:p>
    <w:p>
      <w:r>
        <w:t>IT: GE_GERICHTE ATAS/85/2018 del 30 gennaio 2018</w:t>
      </w:r>
    </w:p>
    <w:p>
      <w:pPr>
        <w:pStyle w:val="Heading2"/>
      </w:pPr>
      <w:r>
        <w:t>Erwägungen</w:t>
      </w:r>
    </w:p>
    <w:p>
      <w:r>
        <w:rPr>
          <w:b/>
        </w:rPr>
        <w:t>E. 2</w:t>
      </w:r>
    </w:p>
    <w:p>
      <w:r>
        <w:t>L’art. 22 LFLP prévoit que « En cas de divorce, les prestations de sortie et les parts de rente sont partagées conformément aux art. 122 à 124e du code civil (CC) et 280 et 281 du code de procédure civile (CPC)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Une indemnité équitable est due lorsqu'un cas de prévoyance est déjà survenu pour l'un des époux ou pour les deux ou que les prétentions en matière de prévoyance</w:t>
      </w:r>
    </w:p>
    <w:p>
      <w:r>
        <w:t>A/4916/2017 3/5 professionnelle acquises durant le mariage ne peuvent être partagées pour d'autres motifs (art. 124 al. 1 CC). Selon l'art. 22b al. 1 et 2 LFLP, lorsqu'une indemnité équitable est versée à l'un des époux en vertu de l'art. 124 CC, le jugement de divorce peut prescrire qu'une partie de la prestation de sortie sera imputée sur l'indemnité équitable (al. 1). Le juge notifie d'office à l'institution de prévoyance le montant à transférer et lui fournit les indications nécessaires au maintien de la prévoyance; pour le transfert, les art. 3 à 5 sont applicables par analogie (al. 2). L’art. 25a al. 1 LFLP précise que «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 S'il s'agit d'une action en complément d'un jugement de divorce étranger, le lieu de l'action en complément est considéré comme lieu du divorce (art. 64 de la LF du 18 déc. 1987 sur le droit international privé) ». Est réservé le cas où le juge des assurances sociales constate que le partage des prestations de sortie au sens de l'art. 122 CC est impossible en raison de la survenance d'un cas de prévoyance. Il doit alors transmettre d'office la cause au juge du divorce comme objet de sa compétence (ATF 136 V 225). Les dispositions légales applicables aux prétentions découlant de la prévoyance professionnelle en cas de divorce opèrent une distinction selon qu'un cas de prévoyance est survenu ou non.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"pour d'autres motifs".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De façon générale, il n'appartient pas au juge des assurances sociales de se substituer au juge du divorce et d'examiner lui-même la question de l'indemnité équitable selon l'art. 124 CC (voir également le texte de l'art. 22b LFLP). Seul le</w:t>
      </w:r>
    </w:p>
    <w:p>
      <w:r>
        <w:t>A/4916/2017 4/5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w:t>
      </w:r>
    </w:p>
    <w:p>
      <w:r>
        <w:rPr>
          <w:b/>
        </w:rPr>
        <w:t>E. 3</w:t>
      </w:r>
    </w:p>
    <w:p>
      <w:r>
        <w:t>En l’espèce, le juge français a prononcé le divorce des époux, mais s’est déclaré incompétent quant à la question du sort des avoirs LPP accumulés par Mme B_____ auprès de la CPEG (art. 63 et 64 LDIP). M. A_____ a saisi la chambre de céans pour qu’elle prononce le partage par moitié de ces avoirs. Force est de rappeler qu’il appartient certes à la chambre de céans d’exécuter le partage selon la clé de répartition déterminée par le juge civil, elle ne peut toutefois pas se substituer au juge civil et doit uniquement exécuter le partage (ATF 132 III 401 consid. 2.2 p. 404; 132 V 337 consid. 2.2 p. 341 ; 9C_388/2009). Seul le juge civil est en effet compétent pour déterminer la clé de répartition. La compétence de la chambre de céans se limite à procéder au partage des avoirs lorsque l'art. 122 CC s'applique. Or, aucun juge civil n’a en l’espèce fixé la clé de répartition. Aussi la chambre de céans ne peut-elle que refuser d’entrer en matière, faute de compétence. La cause sera transmise d’office au Tribunal de première instance (arrêt du Tribunal fédéral 9C_737/2010).</w:t>
      </w:r>
    </w:p>
    <w:p>
      <w:r>
        <w:rPr>
          <w:b/>
        </w:rPr>
        <w:t>E. 4</w:t>
      </w:r>
    </w:p>
    <w:p>
      <w:r>
        <w:t>Aucun émolument ne sera perçu, la procédure étant gratuite (art. 73 al. 2 LPP et 89H al. 1 de la loi sur la procédure administrative du 12 septembre 1985 (LPA-GE - E 5 10).</w:t>
      </w:r>
    </w:p>
    <w:p>
      <w:r>
        <w:t>***</w:t>
      </w:r>
    </w:p>
    <w:p>
      <w:r>
        <w:t>A/4916/2017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