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ATAS/85/2011 vom 27. Januar 2011</w:t>
      </w:r>
    </w:p>
    <w:p>
      <w:r>
        <w:t>GE Cour de justice, 2011-01-27, FR</w:t>
      </w:r>
    </w:p>
    <w:p>
      <w:r>
        <w:rPr>
          <w:b/>
        </w:rPr>
        <w:t xml:space="preserve">Quelle: </w:t>
      </w:r>
      <w:r>
        <w:t>https://mcp.opencaselaw.ch/entscheid/ge_gerichte_ATAS_85_2011</w:t>
      </w:r>
    </w:p>
    <w:p>
      <w:r>
        <w:t>FR: GE_GERICHTE ATAS/85/2011 du 27 janvier 2011</w:t>
      </w:r>
    </w:p>
    <w:p>
      <w:r>
        <w:t>IT: GE_GERICHTE ATAS/85/2011 del 27 gennaio 2011</w:t>
      </w:r>
    </w:p>
    <w:p>
      <w:pPr>
        <w:pStyle w:val="Heading2"/>
      </w:pPr>
      <w:r>
        <w:t>Erwägungen</w:t>
      </w:r>
    </w:p>
    <w:p>
      <w:r>
        <w:rPr>
          <w:b/>
        </w:rPr>
        <w:t>E. 1</w:t>
      </w:r>
    </w:p>
    <w:p>
      <w:r>
        <w:t>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 Conformément à l'art. 37 CGA, l'assuré a le choix entre le for de Lucerne et celui de son domicile suisse en cas de contestations découlant du contrat. Il existe dès lors un for à Genève, canton où la demanderesse a son domicile. La compétence de la Cour de céans pour juger du cas d’espèce est ainsi établie.</w:t>
      </w:r>
    </w:p>
    <w:p>
      <w:r>
        <w:rPr>
          <w:b/>
        </w:rPr>
        <w:t>E. 2</w:t>
      </w:r>
    </w:p>
    <w:p>
      <w:r>
        <w:t>L'assurance en cause est soumise à la LCA, ce qui est confirmé par l’art. 1.3 CGA.</w:t>
      </w:r>
    </w:p>
    <w:p>
      <w:r>
        <w:rPr>
          <w:b/>
        </w:rPr>
        <w:t>E. 3</w:t>
      </w:r>
    </w:p>
    <w:p>
      <w:r>
        <w:t>La loi fédérale sur la surveillance des entreprises d’assurance du 17 décembre 2004 (LSA; RS 961.01) ne contenant pas de règles spécifiques concernant les délais relatifs aux contestations de droit privé entre assurances et assurés, la demande est recevable à la forme.</w:t>
      </w:r>
    </w:p>
    <w:p>
      <w:r>
        <w:rPr>
          <w:b/>
        </w:rPr>
        <w:t>E. 4</w:t>
      </w:r>
    </w:p>
    <w:p>
      <w:r>
        <w:t>Le litige porte sur la prise en charge par l'assurance complémentaire d'hospitalisation de la demanderesse de son séjour en division semi-privée lors de l'ablation du filet abdominal infecté.</w:t>
      </w:r>
    </w:p>
    <w:p>
      <w:r>
        <w:rPr>
          <w:b/>
        </w:rPr>
        <w:t>E. 5</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w:t>
      </w:r>
    </w:p>
    <w:p>
      <w:r>
        <w:t>A/4398/2009 - 7/10 -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consid. 2d).</w:t>
      </w:r>
    </w:p>
    <w:p>
      <w:r>
        <w:rPr>
          <w:b/>
        </w:rPr>
        <w:t>E. 6</w:t>
      </w:r>
    </w:p>
    <w:p>
      <w:r>
        <w:t>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w:t>
      </w:r>
    </w:p>
    <w:p>
      <w:r>
        <w:t>A/4398/2009 - 8/10 -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w:t>
      </w:r>
    </w:p>
    <w:p>
      <w:r>
        <w:rPr>
          <w:b/>
        </w:rPr>
        <w:t>E. 7</w:t>
      </w:r>
    </w:p>
    <w:p>
      <w:r>
        <w:t>En l'espèce, l'art. 33.1 CGA prévoit que sont notamment exclus de l'assurance les maladies et accidents ainsi que leurs complications et séquelles survenant en relation avec la consommation de drogues, de stupéfiants et d'autres substances toxicomanogènes ainsi que l'abus d'alcool et de médicaments. Selon l'art. 17.2 CCA, l'assurance PE n'octroie aucune prestation pour le traitement et le séjour dans des hôpitaux de soins aigus et des cliniques psychiatriques en raison d'un abus de drogues, de stupéfiants, d'alcool ou de médicaments ainsi que d'une maladie chronique. Il n'est pas inutile de rappeler ici que le Tribunal fédéral a admis la validité d'une clause dans les conditions générales d'assurance excluant les prestations liées à l'abus d'alcool (ATF 5C.134/2004 du 1er octobre 2004, consid. 4).</w:t>
      </w:r>
    </w:p>
    <w:p>
      <w:r>
        <w:rPr>
          <w:b/>
        </w:rPr>
        <w:t>E. 8</w:t>
      </w:r>
    </w:p>
    <w:p>
      <w:r>
        <w:t>A la lumière des considérants qui précèdent, il convient d'interpréter la notion de maladie ou de complication "en relation avec l'abus d'alcool", au sens de l'art. 33.1 CGA. Selon la définition du Petit Robert, une relation est un lien ou un rapport. Dans le langage courant, lorsque des événements sont décrits comme "en relation" l'un avec l'autre, ce terme est généralement compris comme désignant un lien de cause à effet entre ces événements, c'est-à-dire que l'un a provoqué ou à tout le moins grandement favorisé l'apparition l'autre. Des événements dits en relation les uns avec les autres doivent donc être compris comme étant en reliés par un rapport de causalité. De plus, l'examen des autres clauses du contrat, en particulier de l'art. 17.2 CCA - dont la teneur est similaire à l'art. 33.1 CGA - permet de confirmer cette interprétation. En effet, l'art. 17.2 CCA évoque précisément que les prestations sont exclues lorsque le traitement et le séjour ont lieu en raison d'un abus d'alcool, ce qui confirme que ce sont bien les traitements en lien de causalité avec l'abus des substances citées qui ne sont pas pris en charge par l'assurance complémentaire. Dans le contexte de la clause d'exclusion du cas d'espèce, on ne voit d'ailleurs guère quelle autre signification pourrait revêtir la notion de relation. En effet, le terme "en relation" ne peut être compris de bonne foi au sens d'une simple coexistence entre une atteinte et une consommation d'alcool excessive. Une acception aussi large ne peut correspondre à la volonté des parties, puisque si tel était le cas, un assuré souffrant ou ayant souffert d'éthylisme chronique n'aurait aucun intérêt à conclure une police d'assurance complémentaire. Il suffirait ainsi à l'assureur d'invoquer les</w:t>
      </w:r>
    </w:p>
    <w:p>
      <w:r>
        <w:t>A/4398/2009 - 9/10 - troubles de la dépendance de l'assuré pour refuser toute prestation à ce dernier, même lorsque les affections qui nécessitent des soins sont sans rapport avec l'abus d'alcool. Ce point étant éclairci, il sied de déterminer si l'infection ayant nécessité l'ablation du filet abdominal est en lien de causalité avec l'abus d'alcool, ou une complication de celui-ci. Il n'est pas contesté que la demanderesse a par le passé consommé de l'alcool de manière excessive et que cette dépendance a induit diverses atteintes à sa santé. La question de savoir si la cirrhose est d'origine éthylique ou non peut cependant rester ouverte en l'espèce. En effet, une cirrhose - qu'elle soit alcoolique ou non - n'est pas propre à entraîner une bactériémie sans agents infectieux. Ce n'est donc pas la cirrhose qui cause l'infection, mais la présence de bactéries - en l'occurrence les staphylocoques dorés - qui n'est pas consécutive à un abus d'alcool. S'il ressort des explications du Prof. R__________ que le risque de bactériémies et la persistance de staphylocoques dans le sang sont plus élevés chez des sujets atteints de cirrhose, on peut tout au plus en conclure que cette atteinte est un facteur favorisant ou prolongeant l'infection, mais non qu'elle en est la cause, même partielle. Partant, il n'existe pas de lien de causalité entre l'infection du filet abdominal de la demanderesse et les autres diagnostics imputables - à tout le moins partiellement - à un abus d'alcool. Pour le surplus, la survenance de l'infection étant indépendante de l'existence d'atteintes à la santé d'origine éthylique, on peut a fortiori exclure que la première constitue une complication des deuxièmes. Partant, la condition de causalité prévue par les CGA et les CCA permettant d'exclure la couverture d'une atteinte à la santé n'est pas réalisée en l'espèce.</w:t>
      </w:r>
    </w:p>
    <w:p>
      <w:r>
        <w:rPr>
          <w:b/>
        </w:rPr>
        <w:t>E. 9</w:t>
      </w:r>
    </w:p>
    <w:p>
      <w:r>
        <w:t>Au vu de ce qui précède, la demande sera admise. La demanderesse obtenant gain de cause, elle a droit à une indemnité à titre de participation à ses frais et dépens, qui doit être fixée à 1'500 fr. (art. 89h al. 3 de la loi sur la procédure administrative [LPA; RSG E 5 10]). Pour le surplus, la procédure est gratuite (art. 89h al. 1 LPA).</w:t>
      </w:r>
    </w:p>
    <w:p>
      <w:r>
        <w:t>A/4398/2009 - 10/10 -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