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ATAS/859/2021 vom 24. August 2021</w:t>
      </w:r>
    </w:p>
    <w:p>
      <w:r>
        <w:t>GE Cour de justice, 2021-08-24, FR</w:t>
      </w:r>
    </w:p>
    <w:p>
      <w:r>
        <w:rPr>
          <w:b/>
        </w:rPr>
        <w:t xml:space="preserve">Quelle: </w:t>
      </w:r>
      <w:r>
        <w:t>https://mcp.opencaselaw.ch/entscheid/ge_gerichte_ATAS_859_2021</w:t>
      </w:r>
    </w:p>
    <w:p>
      <w:r>
        <w:t>FR: GE_GERICHTE ATAS/859/2021 du 24 août 2021</w:t>
      </w:r>
    </w:p>
    <w:p>
      <w:r>
        <w:t>IT: GE_GERICHTE ATAS/859/2021 del 24 agosto 2021</w:t>
      </w:r>
    </w:p>
    <w:p>
      <w:pPr>
        <w:pStyle w:val="Heading2"/>
      </w:pPr>
      <w:r>
        <w:t>Erwägungen</w:t>
      </w:r>
    </w:p>
    <w:p>
      <w:r>
        <w:rPr>
          <w:b/>
        </w:rPr>
        <w:t>E. 1</w:t>
      </w:r>
    </w:p>
    <w:p>
      <w:r>
        <w:t>En ce qui concerne la compétence de la chambre de céans, il convient de rappeler ce qui suit. a.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b. Selon l’art. 25a al. 1 1ère phrase de la loi fédérale sur le libre passage dans la prévoyance professionnelle vieillesse, survivants et invalidité (LFLP – RS 831.42), si une décision concernant le partage de la prévoyance professionnelle en application de l’art. 280 ou 281 du Code de procédure civile (CPC – RS 272) s’avère impossible à prendre durant la procédure de divorce, le juge du lieu du divorce compétent au sens de l’art. 73 al. 1 LPP – soit à Genève, la chambre de céans – exécute d’office, après que l’affaire lui a été transmise (art. 281 al. 3 CPC), le partage sur la base de la clé de répartition déterminée par le juge du divorce. c. Selon l’art. 280 CPC, le tribunal ratifie la convention de partage des prétentions de prévoyance professionnelle aux conditions suivantes : les époux se sont entendus sur le partage et les modalités de son exécution (let. a) ; les époux produisent une attestation des institutions de prévoyance professionnelle concernées qui confirme que l’accord est réalisable et précise le montant des avoirs ou des rentes à partager (let. b) ; le tribunal est convaincu que la convention est conforme à la loi (let. c al. 1). Le tribunal communique aux institutions de prévoyance professionnelle les dispositions de la décision entrée en force qui les concernent, y compris les indications nécessaires au transfert du montant prévu. La décision est contraignante pour les institutions de prévoyance (al. 2). Si la convention précise que les époux s’écartent du partage par moitié ou renoncent au partage de la prévoyance professionnelle, le tribunal vérifie d’office qu’une prévoyance vieillesse et invalidité adéquate reste assurée (al. 3). Une des conditions de la ratification d’une convention de partage des prestations de sortie est que les institutions de prévoyance aient confirmé le montant des avoirs ou des rentes à partager et attesté que l’accord est réalisable (Denis TAPPY in Commentaire romand, CPC, 2ème éd., 2019, n° 9 ad art. 280 CPC). Le jugement de divorce vaut alors titre de mainlevée définitive à leur encontre (ATF 129 V 444 consid. 5.3). En l’absence d’attestation, la procédure se déroule conformément à l’art. 281 CPC, et le tribunal des assurances sociales est seul compétent pour rendre un jugement</w:t>
      </w:r>
    </w:p>
    <w:p>
      <w:r>
        <w:t>A/2170/2020 - 6/10 - contraignant pour les institutions (Christiana FOUNTOULAKIS / Joël D'ANDRÈS, in Petit commentaire, Code de procédure civile, 2020, n. 6 ad art. 280 CPC). d. Selon l’art. 73 al. 3 LPP, le for est au siège ou domicile suisse du défendeur ou au lieu de l'exploitation dans laquelle l'assuré a été engagé. e. En l’espèce, il apparaît que la défenderesse n’a pas émis d’attestation de faisabilité du partage selon les modalités convenues par la demanderesse et son époux dans le cadre de leur procédure de divorce. Le jugement du TPI n’est ainsi pas contraignant à l’encontre de la défenderesse, de sorte que la chambre de céans est compétente à raison de la matière pour connaître du présent litige. Elle l’est également à raison du lieu, la défenderesse ayant son siège à Genève.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RSG E 5 10). Partant, elle est recevable.</w:t>
      </w:r>
    </w:p>
    <w:p>
      <w:r>
        <w:rPr>
          <w:b/>
        </w:rPr>
        <w:t>E. 3</w:t>
      </w:r>
    </w:p>
    <w:p>
      <w:r>
        <w:t>Le litige porte sur le droit de la demanderesse au versement sur son compte privé du montant de CHF 136'610.- par la défenderesse. On relèvera que les proportions dans lesquelles les prestations de sortie doivent être partagées relèvent de la compétence du juge du divorce si elles ne font pas l’objet d’une convention des ex-époux, et que le juge des assurances sociales est lié par la clé de répartition prévue dans le jugement de divorce (arrêt du Tribunal fédéral 9C_515/2011 du 12 octobre 2011 consid. 3.1). La chambre de céans n’a ainsi pas à examiner la quotité de ce montant. Du reste, seules les modalités du versement sont contestées par la défenderesse.</w:t>
      </w:r>
    </w:p>
    <w:p>
      <w:r>
        <w:rPr>
          <w:b/>
        </w:rPr>
        <w:t>E. 4</w:t>
      </w:r>
    </w:p>
    <w:p>
      <w:r>
        <w:t>Selon l’art. 5 al. 1 LFLP, l’assuré peut exiger le paiement en espèces de la prestation de sortie lorsqu’il quitte définitivement la Suisse ; l’art. 25f est réservé (let. a) ; lorsqu’il s’établit à son compte et qu’il n’est plus soumis à la prévoyance professionnelle obligatoire (let. b) ; lorsque le montant de la prestation de sortie est inférieur au montant annuel des cotisations de l’assuré (let. c). L’art. 25f LFLP prévoit certaines restrictions au paiement en espèces dans les États membres de la Communauté européenne, en Islande, en Norvège et au Liechtenstein, non pertinentes dans la présente cause. Aux termes de l’art. 22 2ème phrase LFLP, en cas de divorce, les art. 3 à 5 s’appliquent par analogie au montant à transférer. La loi tend au maintien d'un rapport de prévoyance pendant toute la durée d'activité de l'assuré. Sauf pour l'encouragement à la propriété du logement (art. 30c LPP), le</w:t>
      </w:r>
    </w:p>
    <w:p>
      <w:r>
        <w:t>A/2170/2020 - 7/10 - versement en espèces d'une prestation de sortie n'est possible que dans les trois hypothèses de l'art. 5 al. 1 LFLP (arrêt du Tribunal fédéral des assurances B 19/03 du 30 janvier 2004 consid. 4.3). Le montant issu du partage ne doit pas être attribué en espèces au conjoint ayant droit, si ce dernier n'a pas subi de cas de prévoyance. Il obtient plutôt une prestation de sortie au sens de la LFLP (Thomas GEISER / Christoph SENTI, in SCHNEIDER / GEISER / GÄCHTER [éd.], Commentaire LPP et LFLP, 2ème éd., 2020, n° 8 ad art. 22 LFLP). La jurisprudence a admis que celui qui au moment du divorce exerce déjà une activité indépendante et n'est ainsi pas soumis à la prévoyance professionnelle obligatoire peut se faire payer en espèces la somme à transférer aux mêmes conditions que celles régissant un paiement en espèces de l'avoir de vieillesse accumulé au titre de la prévoyance professionnelle facultative (ATF 139 V 367 consid. 3.6).</w:t>
      </w:r>
    </w:p>
    <w:p>
      <w:r>
        <w:rPr>
          <w:b/>
        </w:rPr>
        <w:t>E. 5</w:t>
      </w:r>
    </w:p>
    <w:p>
      <w:r>
        <w:t>Selon le chiffre 7 du Bulletin de la prévoyance professionnelle n° 96 du 18 décembre 2006 publié par l'OFAS, les personnes qui travaillent en Suisse pour le compte d’une organisation internationale ou d’une représentation diplomatique et qui, à ce titre, ne sont affiliées ni à l’AVS ni à la prévoyance professionnelle, peuvent prétendre au versement en espèces de l’entier de leur prestation de libre passage si elles s’établissent à l’étranger. En revanche, si elles demeurent en Suisse, le versement en espèces de la prestation de libre passage - parts obligatoire et surobligatoire - ne sera pas possible, car on ne peut pas considérer qu’elles ont quitté la Suisse définitivement.</w:t>
      </w:r>
    </w:p>
    <w:p>
      <w:r>
        <w:rPr>
          <w:b/>
        </w:rPr>
        <w:t>E. 6</w:t>
      </w:r>
    </w:p>
    <w:p>
      <w:r>
        <w:t>En vertu des dispositions légales précitées, les conditions qui s'appliquent au versement en espèces à l'assuré de sa prestation de libre passage sont applicables par analogie au versement à l'ex-époux dans le cadre du divorce. Or, aucune de ces conditions n'est en l'espèce réalisée, et la demanderesse ne l'allègue d'ailleurs pas. S'agissant du fait qu'elle aurait fait vérifier qu'un versement en espèces serait possible, force est de constater qu'aucune attestation dans ce sens n'a été délivrée par l'ancienne institution de prévoyance de son ex-époux, pas plus que par la défenderesse. Par ailleurs, la convention de divorce ne stipulait pas que le versement en espèces était une condition sine qua non à l'accord de la demanderesse sur ce point, la formulation « de préférence sur le compte privé […] » laissant au contraire penser que celle-ci n'était pas catégoriquement opposée au versement sur un autre compte. On ajoutera que le souhait de la demanderesse de disposer de liquidités afin de suivre une formation lui permettant de retrouver un emploi au terme de son contrat de travail actuel tend précisément à asseoir la nécessité de garantir le maintien de sa prévoyance professionnelle. En effet, il semblerait que sa situation professionnelle ne soit pas d'une stabilité telle que des lacunes de prévoyance puissent être exclues. Partant, compte tenu de ce qui précède, un versement en espèces de la prestation de sortie de l'ex-époux de la demanderesse, même partiel, n'est pas conforme à la loi,</w:t>
      </w:r>
    </w:p>
    <w:p>
      <w:r>
        <w:t>A/2170/2020 - 8/10 - et les arguments que celle-ci fait valoir ne permettent pas d’y déroger. En effet, conformément à l'art. 190 de la Constitution fédérale (Cst. – RS 101), le Tribunal fédéral et les autres autorités sont tenus d’appliquer les lois fédérales et le droit international.</w:t>
      </w:r>
    </w:p>
    <w:p>
      <w:r>
        <w:rPr>
          <w:b/>
        </w:rPr>
        <w:t>E. 7</w:t>
      </w:r>
    </w:p>
    <w:p>
      <w:r>
        <w:t>S'agissant du sort de la prestation à transférer, la chambre de céans rappelle ce qui suit. La caisse de pensions du CERN n’est pas soumise à la LPP, conformément à l'art. 21 de l’Accord entre le Conseil fédéral suisse et l’Organisation européenne pour la recherche nucléaire pour déterminer le statut juridique de cette organisation en Suisse (RS 0.192.122.42). L'art. 22c LFLP régit les modalités du transfert de la prestation de sortie. La prestation de sortie à transférer est prélevée auprès de l’institution de prévoyance ou de libre passage du conjoint débiteur dans la même proportion que celle qui existe entre l’avoir de vieillesse au sens de l’art. 15 LPP et le reste de l’avoir de prévoyance professionnelle. On procède par analogie pour le transfert d’une rente viagère au sens de l’art. 124a CC (al. 1). La prestation de sortie ou la rente transférée est créditée à l’avoir obligatoire et au reste de l’avoir de prévoyance du conjoint créancier auprès de son institution de prévoyance ou de libre passage, dans la même proportion que celle qui existe entre le prélèvement sur l’avoir obligatoire et le prélèvement sur le reste de l’avoir de prévoyance du conjoint débiteur (al. 2). L'institution de prévoyance à laquelle la prestation de sortie est versée doit l'attribuer aux avoirs obligatoire et surobligatoire selon la LPP (Franziska GROB in Basler Kommentar, Berufliche Vorsorge, n. 14 ad art. 22c LFLP). On peut déduire de ces exigences que la prestation de sortie due dans le cadre du divorce doit être versée à une institution de prévoyance gérant les avoirs d'assurés conformément à la LPP. Or, la caisse de pensions du CERN n'est pas une institution de prévoyance soumise à la loi suisse, comme on l'a vu, et ce bien qu'elle alloue des prestations de retraite, de décès et d'invalidité selon l'art. I 1.01 de ses statuts, qui peuvent être consultés en ligne (https://pensionfund.cern.ch). Partant, on ne peut considérer la caisse de pensions du CERN comme une institution de prévoyance régissant les avoirs de prévoyance de manière conforme aux exigences de la LPP prévoyance au sens de l'art. 22c LFLP, de sorte que le montant dû par la défenderesse ne peut lui être transféré. C'est ainsi sur le compte de libre passage ouvert par la demanderesse que le montant établi par le jugement du TPI doit être versé.</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2 sur la prévoyance professionnelle vieillesse, survivants et</w:t>
      </w:r>
    </w:p>
    <w:p>
      <w:r>
        <w:t>A/2170/2020 - 9/10 - invalidité, du 18 avril 1984 (OPP 2 - RS 831.441.1) ou selon le taux réglementaire, si celui-ci est supérieur (ATF 129 V 255 consid. 3 ; arrêt du Tribunal fédéral 9C_149/2017 du 10 octobre 2017 consid. 4.1). Les intérêts sont dus dès la date de l’introduction de la demande de divorce, soit le 25 octobre 2019.</w:t>
      </w:r>
    </w:p>
    <w:p>
      <w:r>
        <w:rPr>
          <w:b/>
        </w:rPr>
        <w:t>E. 9</w:t>
      </w:r>
    </w:p>
    <w:p>
      <w:r>
        <w:t>La procédure étant gratuite (art. 73 al. 2 LPP), aucun émolument n'est perçu. * * * * * *</w:t>
      </w:r>
    </w:p>
    <w:p>
      <w:r>
        <w:t>A/2170/2020 - 10/10 -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