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ATAS/859/2019 vom 25. September 2019</w:t>
      </w:r>
    </w:p>
    <w:p>
      <w:r>
        <w:t>GE Cour de justice, 2019-09-25, FR</w:t>
      </w:r>
    </w:p>
    <w:p>
      <w:r>
        <w:rPr>
          <w:b/>
        </w:rPr>
        <w:t xml:space="preserve">Quelle: </w:t>
      </w:r>
      <w:r>
        <w:t>https://mcp.opencaselaw.ch/entscheid/ge_gerichte_ATAS_859_2019</w:t>
      </w:r>
    </w:p>
    <w:p>
      <w:r>
        <w:t>FR: GE_GERICHTE ATAS/859/2019 du 25 septembre 2019</w:t>
      </w:r>
    </w:p>
    <w:p>
      <w:r>
        <w:t>IT: GE_GERICHTE ATAS/859/2019 del 25 settembre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requis, le recours est recevable (art. 60 LPGA et 89B de la loi sur la procédure administrative du 12 septembre 1985; LPA - E 5 10).</w:t>
      </w:r>
    </w:p>
    <w:p>
      <w:r>
        <w:rPr>
          <w:b/>
        </w:rPr>
        <w:t>E. 3</w:t>
      </w:r>
    </w:p>
    <w:p>
      <w:r>
        <w:t>Le litige porte sur le bien-fondé du refus des prestations par l'intimé au motif que le recourant ne lui avait pas adressé la totalité des documents réclamés.</w:t>
      </w:r>
    </w:p>
    <w:p>
      <w:r>
        <w:rPr>
          <w:b/>
        </w:rPr>
        <w:t>E. 4</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A/2197/2018 - 9/15 -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w:t>
      </w:r>
    </w:p>
    <w:p>
      <w:r>
        <w:t>A/2197/2018 - 10/15 -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c. Dans le cas d’un indépendant, le degré d’invalidité ne doit pas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1er septembre 2011 consid. 4.2 et 4.3). Si l'on ne peut déterminer ou évaluer sûrement les deux revenus en cause, il faut, en s'inspirant de la méthode spécifique pour personnes sans activité lucrative (art. 28a al. 2 LAI en corrélation avec les art. 27 du règlement sur l'assurance-invalidité du 17 janvier 1961 [RAI – RS 831.201]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w:t>
      </w:r>
    </w:p>
    <w:p>
      <w:r>
        <w:t>A/2197/2018 - 11/15 -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Dans la pratique, la méthode extraordinaire est souvent applicable aux indépendants. Elle est surtout utile dans les secteurs agricole et artisanal, mais ne l’est guère dans le domaine administratif (cf. circulaire sur l’invalidité et l’impotence dans l’assurance-invalidité, établi par l’office fédéral des assurances sociales dans sa teneur en vigueur au 1er janvier 2018 [CIIAI], ch. 3103 ; arrêt du Tribunal fédéral 8C_346/2012 consid. 4.5). d.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I. 750/04 du 5 avril 2006 consid. 5.3, in SVR 2007 IV n. 1 p. 1; I.11/00 du 22 août 2001 consid. 5a/bb, in VSI 2001 p. 274).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w:t>
      </w:r>
    </w:p>
    <w:p>
      <w:r>
        <w:t>A/2197/2018 - 12/15 -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du Tribunal fédéral I.840/81 du 26 avril 1982, in RCC 1983 p. 246; voir également arrêt 8C_748/2008 du 10 juin 2009 consid. 4). Lorsqu’un changement d’activité professionnelle est raisonnablement exigible, compte tenu de la diminution importante du dommage que l’on peut en attendre, il y a lieu d’appliquer non pas la méthode extraordinaire mais la méthode ordinaire de comparaison de revenus (arrêts du Tribunal fédéral 8C_748/2008 du 10 juin 2009 consid. 4.2.2 et 9C_609/2009 du 15 avril 2010 consid. 7.3).</w:t>
      </w:r>
    </w:p>
    <w:p>
      <w:r>
        <w:rPr>
          <w:b/>
        </w:rPr>
        <w:t>E. 5</w:t>
      </w:r>
    </w:p>
    <w:p>
      <w:r>
        <w:t>Aux termes de l’art. 28 al. 2 LPGA, celui qui fait valoir son droit à des prestations doit fournir gratuitement tous les renseignements nécessaires pour établir ce droit et fixer les prestations dues.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La violation de l'obligation de renseigner ou de collaborer n'est déterminante que si elle n'est pas excusable (arrêt du Tribunal fédéral 8C_567/2007 du 2 juillet 2008 consid. 6.3). Il doit ainsi s'agir d'une violation fautive, qui suppose que le comportement de l'intéressé n'est pas compréhensible. Cette condition est réalisée lorsqu'il n'existe aucun fait justificatif (Ueli KIESER, ATSG-Kommentar: Kommentar zum Bundesgesetz über den Allgemeinen Teil des Sozialversicherungsrechts vom 6. Oktober 2000, 2ème éd. 2009, n. 51 ad art. 43). Le comportement de la personne assurée ne doit cependant être sanctionné que pour autant que l’assureur a, en parallèle, tout mis en œuvre pour constituer un dossier aussi complet que possible. Il ne saurait se décharger sur la personne assurée de mesures d’instruction auxquelles son devoir d’élucider d’office les faits déterminants lui commande de procéder. Il s’en 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compliquées, il aurait pu ou pourrait obtenir ailleurs les renseignements qui lui font défaut. L’assureur ne doit faire usage de la possibilité</w:t>
      </w:r>
    </w:p>
    <w:p>
      <w:r>
        <w:t>A/2197/2018 - 13/15 - de ne pas entrer en matière sur la demande qu’avec la plus grande retenue, autrement dit, uniquement lorsqu’un examen sur le fond est impossible sur la base du dossier (Commentaire romand de la loi sur la partie générale des assurances sociales éd. par Anne-Sylvie DUPONT / Margit MOSER-SZELESS, 2018, n. 52 et 53 ad art. 43). En matière d’assurance-invalidité, l’art. 7b al. 2 let. d LAI prévoit que les prestations peuvent être réduites ou refusées sans mise en demeure et sans délai de reflexion, si l’assuré ne communique pas avec un office AI les renseignements dont celui-ci a besoin pour remplir les tâches qui lui sont assignées par la loi.</w:t>
      </w:r>
    </w:p>
    <w:p>
      <w:r>
        <w:rPr>
          <w:b/>
        </w:rPr>
        <w:t>E. 6</w:t>
      </w:r>
    </w:p>
    <w:p>
      <w:r>
        <w:t>En l’espèce, il faut constater, en premier lieu, que l’intimé a adressé ses courriers à la représentante du recourant à une adresse erronée, soit au carrefour D_______ ______, au lieu du 3. S’il est établi que la représentante du recourant a reçu certains de ces courriers, il est possible que d’autres ne lui soient pas parvenus. Il n'en reste pas moins établi, à teneur du dossier, que le recourant n’a pas collaboré pleinement à l’établissement des faits, étant relevé que les actes de son mandataire lui sont imputables (arrêts du Tribunal fédéral 6B_722/2014 du 17 décembre 2014 consid. 2.1; 6F_15/2013 du 29 octobre 2013 consid. 2.3; 6B_503/2013 du 27 août 2013 consid. 3.3 et 3.4; 1B_250/2012 du 31 juillet 2012 consid. 2.3; 6B_60/2010 du 12 février 2010 consid. 2). En effet, C_______ a dû être relancée à plusieurs reprises et n’a donné que partiellement suite aux demandes de l’OAI. Il n’est pas contesté que C_______ a en tout cas reçu les demandes des 26 août 2016, 5 septembre 2016 (téléphone), 11 août 2017 et 15 février 2018 (téléphone). Le recourant semble s’en être totalement remis à C_______, sans suivre la procédure avec la diligence requise. Cela ne suffit toutefois pas encore pour justifier un refus des prestations. Plusieurs documents ont finalement été transmis à l’intimé par C_______ et le principal document encore réclamé avant que soit prise la décision querellée était le compte de pertes et profits de l’année 2016, selon une note de travail de l'intimé du 13 novembre 2017. Bien qu’incomplet, le dossier permettait de procéder à l’enquête économique requise par le gestionnaire du dossier le 19 décembre 2016. En effet, l’intimé était déjà en possession des comptes de pertes et profits pour les années 2013 à 2015. Or, pour procéder à la comparaison des revenus, l’OAI devait se placer au moment de la naissance du droit à la rente, soit en novembre 2014, un an après le début de l’incapacité de travail durable qui est intervenue le 14 novembre 2013. Le compte de pertes et profits 2016 de l’entreprise du recourant n'était dès lors pas indispensable pour déterminer le revenu avec invalidité de celui- ci. Il l’était d’autant moins que le SMR avait retenu, le 23 août 2016, que le recourant n'était plus capable de travailler dans son activité habituelle, mais qu'il l'était à 100% dans une activité adaptée à ses limitations fonctionnelles. Dans la mesure où il ressort du dossier que le recourant dirigeait une entreprise relativement petite, dans laquelle ses activités administratives et de direction avaient un rôle secondaire par rapport à celle de ferrailleur, il apparaît peu probable qu'un transfert</w:t>
      </w:r>
    </w:p>
    <w:p>
      <w:r>
        <w:t>A/2197/2018 - 14/15 - de tâches d'exploitation vers des tâches de gestion puisse lui permettre de compenser les répercussions économiques résultant de son atteinte à la santé. L'on se trouve donc dans un cas où le recourant pourrait être tenu de mettre fin à son activité indépendante au profit d'une activité salariée plus lucrative. Dans ce cas de figure, l'intimé n'aurait pas besoin des comptes de pertes et profits de la société relatif à l’année 2016 pour fixer le revenu d’invalide, puisqu’il devrait, pour ce faire, se fonder sur les revenus ressortant de l’ESS. Il en résulte que c'est à tort que l'intimé a rejeté la demande du recourant pour défaut de collaboration. Il aurait pu et dû trancher la demande sur la base des documents en sa possession, après avoir autant que possible complété le dossier par ses propres démarches, par exemple auprès de la caisse de compensation Node AVS.</w:t>
      </w:r>
    </w:p>
    <w:p>
      <w:r>
        <w:rPr>
          <w:b/>
        </w:rPr>
        <w:t>E. 7</w:t>
      </w:r>
    </w:p>
    <w:p>
      <w:r>
        <w:t>Le recours doit en conséquence être admis, la décision querellée annulée et la cause renvoyée à l'intimé pour nouvelle décision.</w:t>
      </w:r>
    </w:p>
    <w:p>
      <w:r>
        <w:rPr>
          <w:b/>
        </w:rPr>
        <w:t>E. 8</w:t>
      </w:r>
    </w:p>
    <w:p>
      <w:r>
        <w:t>Le recourant étant représenté et obtenant gain de cause, une indemnité de CHF 1’500.- lui sera accordée à titre de participation à ses dépens (art. 61 let. g LPGA; art. 6 du règlement sur les frais, émoluments et indemnités en matière administrative du 30 juillet 1986 [RFPA – E 5 10.03]).</w:t>
      </w:r>
    </w:p>
    <w:p>
      <w:r>
        <w:rPr>
          <w:b/>
        </w:rPr>
        <w:t>E. 9</w:t>
      </w:r>
    </w:p>
    <w:p>
      <w:r>
        <w:t>Au vu du sort du recours, l'intimé sera condamné au paiement d'un émolument de CHF 200.- (art. 69 al. 1bis LAI).</w:t>
      </w:r>
    </w:p>
    <w:p>
      <w:r>
        <w:t>A/2197/2018 - 15/15 -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